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90E58" w14:textId="77777777" w:rsidR="00F80F87" w:rsidRDefault="00F80F87">
      <w:bookmarkStart w:id="0" w:name="_GoBack"/>
      <w:bookmarkEnd w:id="0"/>
    </w:p>
    <w:p w14:paraId="3557F387" w14:textId="77777777" w:rsidR="00F80F87" w:rsidRDefault="00F80F87"/>
    <w:p w14:paraId="0A26464E" w14:textId="77777777" w:rsidR="00F80F87" w:rsidRDefault="00F80F87"/>
    <w:p w14:paraId="7963E404" w14:textId="77777777" w:rsidR="00F80F87" w:rsidRDefault="00F80F87"/>
    <w:p w14:paraId="082F6AD0" w14:textId="77777777" w:rsidR="00F80F87" w:rsidRDefault="00F80F87"/>
    <w:p w14:paraId="1E215CB2" w14:textId="77777777" w:rsidR="00F80F87" w:rsidRDefault="00F80F87"/>
    <w:p w14:paraId="00EDD5CF" w14:textId="77777777" w:rsidR="00F80F87" w:rsidRDefault="00F80F87"/>
    <w:p w14:paraId="3F302211" w14:textId="77777777" w:rsidR="00F80F87" w:rsidRDefault="00F80F87"/>
    <w:p w14:paraId="3497C50A" w14:textId="77777777" w:rsidR="00F80F87" w:rsidRDefault="00F80F87"/>
    <w:p w14:paraId="3D6ECDED" w14:textId="77777777" w:rsidR="00F80F87" w:rsidRDefault="00F80F87"/>
    <w:p w14:paraId="5EDEC6E7" w14:textId="77777777" w:rsidR="00F80F87" w:rsidRDefault="00F80F87"/>
    <w:p w14:paraId="2381628A" w14:textId="77777777" w:rsidR="00F80F87" w:rsidRDefault="00F80F87">
      <w:pPr>
        <w:jc w:val="center"/>
      </w:pPr>
      <w:r>
        <w:t>SUPERIOR COURT OF WASHINGTON FOR KING COUNTY</w:t>
      </w:r>
    </w:p>
    <w:p w14:paraId="35ADFAB6" w14:textId="77777777" w:rsidR="00F80F87" w:rsidRDefault="00F80F87">
      <w:pPr>
        <w:jc w:val="center"/>
      </w:pPr>
    </w:p>
    <w:tbl>
      <w:tblPr>
        <w:tblW w:w="0" w:type="auto"/>
        <w:tblLayout w:type="fixed"/>
        <w:tblCellMar>
          <w:left w:w="0" w:type="dxa"/>
          <w:right w:w="0" w:type="dxa"/>
        </w:tblCellMar>
        <w:tblLook w:val="0000" w:firstRow="0" w:lastRow="0" w:firstColumn="0" w:lastColumn="0" w:noHBand="0" w:noVBand="0"/>
      </w:tblPr>
      <w:tblGrid>
        <w:gridCol w:w="4950"/>
        <w:gridCol w:w="360"/>
        <w:gridCol w:w="360"/>
        <w:gridCol w:w="3960"/>
      </w:tblGrid>
      <w:tr w:rsidR="00F80F87" w14:paraId="7C2BC1B0" w14:textId="77777777">
        <w:tc>
          <w:tcPr>
            <w:tcW w:w="4950" w:type="dxa"/>
            <w:tcBorders>
              <w:bottom w:val="single" w:sz="6" w:space="0" w:color="auto"/>
            </w:tcBorders>
          </w:tcPr>
          <w:p w14:paraId="6E77E2E5" w14:textId="77777777" w:rsidR="00F80F87" w:rsidRDefault="00F80F87"/>
          <w:p w14:paraId="08484FAD" w14:textId="77777777" w:rsidR="00F80F87" w:rsidRDefault="00F80F87" w:rsidP="00BD5B06"/>
          <w:p w14:paraId="5925434A" w14:textId="77777777" w:rsidR="00F80F87" w:rsidRDefault="002F01AB">
            <w:r>
              <w:t>IN RE THE MATTER OF:</w:t>
            </w:r>
          </w:p>
          <w:p w14:paraId="05934481" w14:textId="77777777" w:rsidR="002F01AB" w:rsidRDefault="002F01AB"/>
          <w:p w14:paraId="7DB7BB70" w14:textId="77777777" w:rsidR="002F01AB" w:rsidRDefault="002F01AB" w:rsidP="00EB5886">
            <w:r>
              <w:t>AMICUS APPEARANCE OF</w:t>
            </w:r>
            <w:r w:rsidR="00C57F53">
              <w:t xml:space="preserve"> THE</w:t>
            </w:r>
            <w:r>
              <w:t xml:space="preserve"> KING COUNTY PROSECUT</w:t>
            </w:r>
            <w:r w:rsidR="00EB5886">
              <w:t>ING ATTORNEY’S OFFICE</w:t>
            </w:r>
            <w:r>
              <w:t xml:space="preserve"> IN FIREARM</w:t>
            </w:r>
            <w:r w:rsidR="00EB5886">
              <w:t xml:space="preserve"> </w:t>
            </w:r>
            <w:r>
              <w:t xml:space="preserve">PROTECTION ORDER </w:t>
            </w:r>
            <w:r w:rsidR="00EB5886">
              <w:t>MATTERS</w:t>
            </w:r>
          </w:p>
        </w:tc>
        <w:tc>
          <w:tcPr>
            <w:tcW w:w="360" w:type="dxa"/>
            <w:tcBorders>
              <w:bottom w:val="single" w:sz="6" w:space="0" w:color="auto"/>
            </w:tcBorders>
          </w:tcPr>
          <w:p w14:paraId="0C9EA8D5" w14:textId="77777777" w:rsidR="00F80F87" w:rsidRDefault="00F80F87">
            <w:pPr>
              <w:tabs>
                <w:tab w:val="left" w:pos="2880"/>
              </w:tabs>
            </w:pPr>
          </w:p>
        </w:tc>
        <w:tc>
          <w:tcPr>
            <w:tcW w:w="360" w:type="dxa"/>
          </w:tcPr>
          <w:p w14:paraId="3DBFB1A5" w14:textId="77777777" w:rsidR="00F80F87" w:rsidRDefault="00F80F87">
            <w:r>
              <w:t>)</w:t>
            </w:r>
          </w:p>
          <w:p w14:paraId="7E0EDE9B" w14:textId="77777777" w:rsidR="00F80F87" w:rsidRDefault="00F80F87">
            <w:r>
              <w:t>)</w:t>
            </w:r>
            <w:r>
              <w:br/>
              <w:t>)</w:t>
            </w:r>
            <w:r>
              <w:br/>
              <w:t>)</w:t>
            </w:r>
            <w:r>
              <w:br/>
              <w:t>)</w:t>
            </w:r>
            <w:r>
              <w:br/>
              <w:t>)</w:t>
            </w:r>
            <w:r>
              <w:br/>
              <w:t>)</w:t>
            </w:r>
            <w:r>
              <w:br/>
              <w:t>)</w:t>
            </w:r>
            <w:r>
              <w:br/>
              <w:t>)</w:t>
            </w:r>
            <w:r>
              <w:br/>
              <w:t>)</w:t>
            </w:r>
            <w:r>
              <w:br/>
              <w:t>)</w:t>
            </w:r>
          </w:p>
          <w:p w14:paraId="1B7ECE15" w14:textId="77777777" w:rsidR="00F80F87" w:rsidRDefault="00F80F87">
            <w:r>
              <w:t>)</w:t>
            </w:r>
          </w:p>
        </w:tc>
        <w:tc>
          <w:tcPr>
            <w:tcW w:w="3960" w:type="dxa"/>
          </w:tcPr>
          <w:p w14:paraId="6AB4B326" w14:textId="77777777" w:rsidR="00F80F87" w:rsidRDefault="00F80F87"/>
          <w:p w14:paraId="3149A980" w14:textId="77777777" w:rsidR="00F80F87" w:rsidRDefault="00F80F87"/>
          <w:p w14:paraId="71F84E2B" w14:textId="77777777" w:rsidR="00F80F87" w:rsidRDefault="00F80F87">
            <w:r>
              <w:t xml:space="preserve">No. </w:t>
            </w:r>
          </w:p>
          <w:p w14:paraId="5DDBAA13" w14:textId="77777777" w:rsidR="00F80F87" w:rsidRDefault="00F80F87"/>
          <w:p w14:paraId="4F188ED1" w14:textId="77777777" w:rsidR="00F80F87" w:rsidRDefault="00C57F53" w:rsidP="00BD5B06">
            <w:bookmarkStart w:id="1" w:name="BeginTitle"/>
            <w:bookmarkEnd w:id="1"/>
            <w:r>
              <w:t>MOTION FOR GENERAL ORDER TO APPEAR AS AMICUS CURIAE AT FIREARM COMPLIANCE REVIEW CALENDAR AND EXTREME RISK PROTECTION ORDER CALENDAR</w:t>
            </w:r>
          </w:p>
        </w:tc>
      </w:tr>
    </w:tbl>
    <w:p w14:paraId="35B26E01" w14:textId="77777777" w:rsidR="00F80F87" w:rsidRDefault="00F80F87">
      <w:bookmarkStart w:id="2" w:name="pldgbody"/>
      <w:bookmarkEnd w:id="2"/>
    </w:p>
    <w:p w14:paraId="1932F9F4" w14:textId="77777777" w:rsidR="00F80F87" w:rsidRPr="00F80F87" w:rsidRDefault="00F80F87"/>
    <w:p w14:paraId="53ABB418" w14:textId="77777777" w:rsidR="00476ACF" w:rsidRPr="00413D8D" w:rsidRDefault="00BD5B06" w:rsidP="00F80F87">
      <w:pPr>
        <w:pStyle w:val="ListParagraph"/>
        <w:numPr>
          <w:ilvl w:val="0"/>
          <w:numId w:val="4"/>
        </w:numPr>
        <w:jc w:val="center"/>
        <w:rPr>
          <w:u w:val="single"/>
        </w:rPr>
      </w:pPr>
      <w:r>
        <w:rPr>
          <w:u w:val="single"/>
        </w:rPr>
        <w:t>MOTION</w:t>
      </w:r>
    </w:p>
    <w:p w14:paraId="7D28EE3B" w14:textId="77777777" w:rsidR="00F80F87" w:rsidRPr="00F80F87" w:rsidRDefault="00F80F87" w:rsidP="00F80F87"/>
    <w:p w14:paraId="264854C2" w14:textId="77777777" w:rsidR="002F01AB" w:rsidRDefault="002F01AB" w:rsidP="00873D15">
      <w:pPr>
        <w:spacing w:line="480" w:lineRule="auto"/>
        <w:ind w:firstLine="360"/>
        <w:rPr>
          <w:u w:val="single"/>
        </w:rPr>
      </w:pPr>
      <w:r>
        <w:t>The</w:t>
      </w:r>
      <w:r w:rsidR="00F80F87" w:rsidRPr="00F80F87">
        <w:t xml:space="preserve"> </w:t>
      </w:r>
      <w:r w:rsidR="006A6454">
        <w:t>King County Prosecutor’s Office</w:t>
      </w:r>
      <w:r w:rsidR="00EB5886">
        <w:t xml:space="preserve"> (“KCPAO”)</w:t>
      </w:r>
      <w:r w:rsidR="00F80F87" w:rsidRPr="00F80F87">
        <w:t xml:space="preserve"> </w:t>
      </w:r>
      <w:r>
        <w:t xml:space="preserve"> hereby</w:t>
      </w:r>
      <w:r w:rsidR="00BD5B06">
        <w:t xml:space="preserve"> moves for a general</w:t>
      </w:r>
      <w:r w:rsidR="00F80F87">
        <w:t xml:space="preserve"> order permitting </w:t>
      </w:r>
      <w:r>
        <w:t xml:space="preserve">the prosecutor’s </w:t>
      </w:r>
      <w:r w:rsidR="006720E9">
        <w:t>office to participate</w:t>
      </w:r>
      <w:r>
        <w:t xml:space="preserve"> as</w:t>
      </w:r>
      <w:r w:rsidR="00BD5B06">
        <w:t xml:space="preserve"> amicus curiae</w:t>
      </w:r>
      <w:r w:rsidR="001940EC">
        <w:t xml:space="preserve"> </w:t>
      </w:r>
      <w:r w:rsidR="00BD5B06">
        <w:t>(1) at the firearms compliance review calendar, and (2) at the extreme risk protection order calendar.</w:t>
      </w:r>
      <w:r w:rsidR="00EB5886">
        <w:t xml:space="preserve">  As amicus, KCPAO w</w:t>
      </w:r>
      <w:r w:rsidR="00C57F53">
        <w:t xml:space="preserve">ill </w:t>
      </w:r>
      <w:r w:rsidR="00EB5886">
        <w:t xml:space="preserve">endeavor to provide the court with relevant </w:t>
      </w:r>
      <w:r w:rsidR="00C57F53">
        <w:t xml:space="preserve">factual </w:t>
      </w:r>
      <w:r w:rsidR="00EB5886">
        <w:t>information and its legal analysis regarding 1) compli</w:t>
      </w:r>
      <w:r w:rsidR="00C57F53">
        <w:t>ance review hearings under RCW C</w:t>
      </w:r>
      <w:r w:rsidR="00EB5886">
        <w:t xml:space="preserve">h. 9.41, and 2) Extreme Risk Protection Order matters. </w:t>
      </w:r>
      <w:r w:rsidR="00BD5B06">
        <w:t xml:space="preserve"> </w:t>
      </w:r>
    </w:p>
    <w:p w14:paraId="3FE84BC0" w14:textId="77777777" w:rsidR="00C83840" w:rsidRDefault="00EB5886" w:rsidP="00C83840">
      <w:pPr>
        <w:pStyle w:val="ListParagraph"/>
        <w:numPr>
          <w:ilvl w:val="0"/>
          <w:numId w:val="4"/>
        </w:numPr>
        <w:jc w:val="center"/>
        <w:rPr>
          <w:u w:val="single"/>
        </w:rPr>
      </w:pPr>
      <w:r>
        <w:rPr>
          <w:u w:val="single"/>
        </w:rPr>
        <w:t>INTEREST OF KCPAO</w:t>
      </w:r>
    </w:p>
    <w:p w14:paraId="4DAEE435" w14:textId="77777777" w:rsidR="00C83840" w:rsidRPr="00C83840" w:rsidRDefault="00C83840" w:rsidP="00C83840">
      <w:pPr>
        <w:pStyle w:val="ListParagraph"/>
        <w:ind w:left="1080"/>
        <w:rPr>
          <w:u w:val="single"/>
        </w:rPr>
      </w:pPr>
    </w:p>
    <w:p w14:paraId="4975AED4" w14:textId="77777777" w:rsidR="009A187E" w:rsidRDefault="00C83840" w:rsidP="00C83840">
      <w:pPr>
        <w:tabs>
          <w:tab w:val="left" w:pos="630"/>
        </w:tabs>
        <w:spacing w:line="480" w:lineRule="auto"/>
        <w:jc w:val="both"/>
      </w:pPr>
      <w:r>
        <w:tab/>
      </w:r>
      <w:r w:rsidR="00C57F53">
        <w:t>Under RCW 36.27.020</w:t>
      </w:r>
      <w:r w:rsidR="00C57F53" w:rsidRPr="00C57F53">
        <w:t>(11)</w:t>
      </w:r>
      <w:r w:rsidR="009A187E">
        <w:t xml:space="preserve">, </w:t>
      </w:r>
      <w:r w:rsidR="00C57F53">
        <w:t>county prosecutors have a duty to “[s]</w:t>
      </w:r>
      <w:r w:rsidR="00C57F53" w:rsidRPr="00C57F53">
        <w:t xml:space="preserve">eek to reform and improve the administration of criminal justice </w:t>
      </w:r>
      <w:r w:rsidR="00C57F53" w:rsidRPr="00873D15">
        <w:rPr>
          <w:i/>
        </w:rPr>
        <w:t xml:space="preserve">and stimulate efforts to remedy inadequacies or </w:t>
      </w:r>
      <w:r w:rsidR="00C57F53" w:rsidRPr="00873D15">
        <w:rPr>
          <w:i/>
        </w:rPr>
        <w:lastRenderedPageBreak/>
        <w:t>injustice in substantive or procedural law</w:t>
      </w:r>
      <w:r w:rsidR="009A187E">
        <w:t xml:space="preserve">.”  (Emphasis added).  With regard to Washington’s firearms surrender laws, KCPAO has a particular </w:t>
      </w:r>
      <w:r>
        <w:t>public</w:t>
      </w:r>
      <w:r w:rsidR="006F160D">
        <w:t xml:space="preserve"> safety interest relating to</w:t>
      </w:r>
      <w:r>
        <w:t xml:space="preserve"> firea</w:t>
      </w:r>
      <w:r w:rsidR="006F160D">
        <w:t>rms ordered to be surrendered and orders prohibiting possession of firearms</w:t>
      </w:r>
      <w:r w:rsidR="009A187E">
        <w:t>.  It also has an interest in the proper administration of justice with regard to those laws, including the fair treatment of litigants.</w:t>
      </w:r>
    </w:p>
    <w:p w14:paraId="42C0D23B" w14:textId="77777777" w:rsidR="00C83840" w:rsidRDefault="00C83840" w:rsidP="00873D15">
      <w:pPr>
        <w:tabs>
          <w:tab w:val="left" w:pos="630"/>
        </w:tabs>
        <w:spacing w:line="480" w:lineRule="auto"/>
        <w:ind w:firstLine="630"/>
        <w:jc w:val="both"/>
        <w:rPr>
          <w:rFonts w:cs="Courier"/>
          <w:szCs w:val="24"/>
        </w:rPr>
      </w:pPr>
      <w:r w:rsidRPr="00672B45">
        <w:rPr>
          <w:rFonts w:cs="Courier"/>
          <w:szCs w:val="24"/>
        </w:rPr>
        <w:t>In 2013-2014</w:t>
      </w:r>
      <w:r>
        <w:rPr>
          <w:rFonts w:cs="Courier"/>
          <w:szCs w:val="24"/>
        </w:rPr>
        <w:t xml:space="preserve"> study</w:t>
      </w:r>
      <w:r w:rsidRPr="00672B45">
        <w:rPr>
          <w:rFonts w:cs="Courier"/>
          <w:szCs w:val="24"/>
        </w:rPr>
        <w:t xml:space="preserve">, 54% of perpetrators in a domestic violence related shooting death were </w:t>
      </w:r>
      <w:r w:rsidRPr="001940EC">
        <w:rPr>
          <w:rFonts w:cs="Courier"/>
          <w:b/>
          <w:szCs w:val="24"/>
        </w:rPr>
        <w:t>prohibited</w:t>
      </w:r>
      <w:r w:rsidRPr="00672B45">
        <w:rPr>
          <w:rFonts w:cs="Courier"/>
          <w:szCs w:val="24"/>
        </w:rPr>
        <w:t xml:space="preserve"> from owning guns under Washington State law.</w:t>
      </w:r>
      <w:r>
        <w:rPr>
          <w:rStyle w:val="FootnoteReference"/>
          <w:rFonts w:cs="Courier"/>
          <w:szCs w:val="24"/>
        </w:rPr>
        <w:footnoteReference w:id="1"/>
      </w:r>
      <w:r w:rsidRPr="00672B45">
        <w:rPr>
          <w:rFonts w:cs="Courier"/>
          <w:szCs w:val="24"/>
        </w:rPr>
        <w:t xml:space="preserve"> </w:t>
      </w:r>
      <w:r>
        <w:rPr>
          <w:rFonts w:cs="Courier"/>
          <w:szCs w:val="24"/>
        </w:rPr>
        <w:t>At some point, these perpetrators were ordered not to possess f</w:t>
      </w:r>
      <w:r w:rsidR="006F160D">
        <w:rPr>
          <w:rFonts w:cs="Courier"/>
          <w:szCs w:val="24"/>
        </w:rPr>
        <w:t xml:space="preserve">irearms, </w:t>
      </w:r>
      <w:r w:rsidR="002F01AB">
        <w:rPr>
          <w:rFonts w:cs="Courier"/>
          <w:szCs w:val="24"/>
        </w:rPr>
        <w:t xml:space="preserve">but </w:t>
      </w:r>
      <w:r w:rsidR="006F160D">
        <w:rPr>
          <w:rFonts w:cs="Courier"/>
          <w:szCs w:val="24"/>
        </w:rPr>
        <w:t>did so anyway. There is a clear</w:t>
      </w:r>
      <w:r>
        <w:rPr>
          <w:rFonts w:cs="Courier"/>
          <w:szCs w:val="24"/>
        </w:rPr>
        <w:t xml:space="preserve"> public safety interest in ensuring that respondents ordered to surrender weapons actually do so. </w:t>
      </w:r>
    </w:p>
    <w:p w14:paraId="7A4E0BC1" w14:textId="77777777" w:rsidR="00C83840" w:rsidRPr="00045BD0" w:rsidRDefault="00C83840" w:rsidP="00C83840">
      <w:pPr>
        <w:tabs>
          <w:tab w:val="left" w:pos="630"/>
        </w:tabs>
        <w:spacing w:line="480" w:lineRule="auto"/>
        <w:jc w:val="both"/>
        <w:rPr>
          <w:rFonts w:cs="Courier"/>
          <w:szCs w:val="24"/>
        </w:rPr>
      </w:pPr>
      <w:r>
        <w:rPr>
          <w:rFonts w:cs="Courier"/>
          <w:szCs w:val="24"/>
        </w:rPr>
        <w:tab/>
        <w:t>Furthermore, research shows that w</w:t>
      </w:r>
      <w:r w:rsidRPr="00672B45">
        <w:rPr>
          <w:rFonts w:cs="Courier"/>
          <w:szCs w:val="24"/>
        </w:rPr>
        <w:t>hen a gun is present in a domestic violence situation, it increases the risk of homicide for women by 500 percent.</w:t>
      </w:r>
      <w:r>
        <w:rPr>
          <w:rStyle w:val="FootnoteReference"/>
          <w:rFonts w:cs="Courier"/>
          <w:szCs w:val="24"/>
        </w:rPr>
        <w:footnoteReference w:id="2"/>
      </w:r>
      <w:r>
        <w:rPr>
          <w:rFonts w:cs="Courier"/>
          <w:szCs w:val="24"/>
        </w:rPr>
        <w:t xml:space="preserve"> </w:t>
      </w:r>
      <w:r w:rsidRPr="00672B45">
        <w:rPr>
          <w:rFonts w:cs="Courier"/>
          <w:szCs w:val="24"/>
        </w:rPr>
        <w:t xml:space="preserve">In Washington State, domestic violence homicide perpetrators use guns more often than all other weapons combined.  </w:t>
      </w:r>
      <w:r>
        <w:rPr>
          <w:rFonts w:eastAsiaTheme="minorEastAsia"/>
          <w:color w:val="000000" w:themeColor="text1"/>
          <w:kern w:val="24"/>
          <w:szCs w:val="24"/>
        </w:rPr>
        <w:t>Additionally, domestic violence calls lead to more police fatalities than any other type of law enforcement response.</w:t>
      </w:r>
      <w:r>
        <w:rPr>
          <w:rStyle w:val="FootnoteReference"/>
          <w:rFonts w:eastAsiaTheme="minorEastAsia"/>
          <w:color w:val="000000" w:themeColor="text1"/>
          <w:kern w:val="24"/>
          <w:szCs w:val="24"/>
        </w:rPr>
        <w:footnoteReference w:id="3"/>
      </w:r>
      <w:r>
        <w:rPr>
          <w:rFonts w:eastAsiaTheme="minorEastAsia"/>
          <w:color w:val="000000" w:themeColor="text1"/>
          <w:kern w:val="24"/>
          <w:szCs w:val="24"/>
        </w:rPr>
        <w:t xml:space="preserve"> </w:t>
      </w:r>
    </w:p>
    <w:p w14:paraId="1F25E1A7" w14:textId="77777777" w:rsidR="00EB5886" w:rsidRDefault="00C83840" w:rsidP="00873D15">
      <w:pPr>
        <w:tabs>
          <w:tab w:val="left" w:pos="630"/>
        </w:tabs>
        <w:spacing w:line="480" w:lineRule="auto"/>
        <w:jc w:val="both"/>
        <w:rPr>
          <w:u w:val="single"/>
        </w:rPr>
      </w:pPr>
      <w:r w:rsidRPr="00672B45">
        <w:rPr>
          <w:rFonts w:eastAsiaTheme="minorEastAsia"/>
          <w:color w:val="000000" w:themeColor="text1"/>
          <w:kern w:val="24"/>
          <w:szCs w:val="24"/>
        </w:rPr>
        <w:tab/>
        <w:t>A woman's risk of homicide is highest when she is trying to end the relationship.  According to the highly-respected Ontario Domestic Assault Risk Assessment (ODARA), the single most important red flag to predict a lethal response was “recent separation.” 45% of DV homicides occur within 90 days of separation, most within the first few days. The best available research shows that the most important element in preventing fatalities is to remove the firearm from the situation</w:t>
      </w:r>
      <w:r>
        <w:rPr>
          <w:rFonts w:eastAsiaTheme="minorEastAsia"/>
          <w:color w:val="000000" w:themeColor="text1"/>
          <w:kern w:val="24"/>
          <w:szCs w:val="24"/>
        </w:rPr>
        <w:t>.</w:t>
      </w:r>
      <w:r>
        <w:rPr>
          <w:rStyle w:val="FootnoteReference"/>
          <w:rFonts w:eastAsiaTheme="minorEastAsia"/>
          <w:color w:val="000000" w:themeColor="text1"/>
          <w:kern w:val="24"/>
          <w:szCs w:val="24"/>
        </w:rPr>
        <w:footnoteReference w:id="4"/>
      </w:r>
      <w:r>
        <w:rPr>
          <w:rFonts w:eastAsiaTheme="minorEastAsia"/>
          <w:color w:val="000000" w:themeColor="text1"/>
          <w:kern w:val="24"/>
          <w:szCs w:val="24"/>
        </w:rPr>
        <w:t xml:space="preserve"> </w:t>
      </w:r>
    </w:p>
    <w:p w14:paraId="0B4E84EF" w14:textId="77777777" w:rsidR="00F80F87" w:rsidRPr="00413D8D" w:rsidRDefault="00F80F87" w:rsidP="00413D8D">
      <w:pPr>
        <w:pStyle w:val="ListParagraph"/>
        <w:numPr>
          <w:ilvl w:val="0"/>
          <w:numId w:val="4"/>
        </w:numPr>
        <w:jc w:val="center"/>
        <w:rPr>
          <w:u w:val="single"/>
        </w:rPr>
      </w:pPr>
      <w:r w:rsidRPr="00413D8D">
        <w:rPr>
          <w:u w:val="single"/>
        </w:rPr>
        <w:t>LEGAL AUTHORITY</w:t>
      </w:r>
      <w:r w:rsidR="00EB5886">
        <w:rPr>
          <w:u w:val="single"/>
        </w:rPr>
        <w:t xml:space="preserve"> FOR AMICUS</w:t>
      </w:r>
    </w:p>
    <w:p w14:paraId="5E4E8051" w14:textId="77777777" w:rsidR="00413D8D" w:rsidRDefault="00413D8D" w:rsidP="00413D8D">
      <w:pPr>
        <w:ind w:left="360"/>
      </w:pPr>
    </w:p>
    <w:p w14:paraId="049D85D0" w14:textId="77777777" w:rsidR="00B61BAB" w:rsidRDefault="00B61BAB" w:rsidP="00B61BAB">
      <w:pPr>
        <w:spacing w:line="480" w:lineRule="auto"/>
        <w:ind w:firstLine="720"/>
      </w:pPr>
      <w:r>
        <w:t xml:space="preserve">Trial courts have discretion to allow amicus curiae to appear if the trial court finds it helpful to the issues at bar.  </w:t>
      </w:r>
      <w:r w:rsidRPr="00B61BAB">
        <w:rPr>
          <w:u w:val="single"/>
        </w:rPr>
        <w:t>Parsons v. State, Dep't of Soc. &amp; Health Servs.</w:t>
      </w:r>
      <w:r>
        <w:t>, 129 Wn. App. 293, 118 P.3d 930 (2005) (holding that a</w:t>
      </w:r>
      <w:r w:rsidRPr="00B61BAB">
        <w:t xml:space="preserve">lthough no specific rule permits amicus participation in the trial court, there is no rule prohibiting it, and there is no reason a trial judge should not have discretion to permit such participation if </w:t>
      </w:r>
      <w:r>
        <w:t>it may be helpful to the court).</w:t>
      </w:r>
      <w:r w:rsidR="009A187E">
        <w:t xml:space="preserve">  Due to </w:t>
      </w:r>
      <w:r w:rsidR="00587B8E">
        <w:t xml:space="preserve">the transitory nature of firearms surrender proceedings, a case-by-case approach to determining participation by amicus would </w:t>
      </w:r>
      <w:r w:rsidR="006720E9">
        <w:t xml:space="preserve">be </w:t>
      </w:r>
      <w:r w:rsidR="00587B8E">
        <w:t xml:space="preserve">unnecessarily cumbersome and delay the court’s rapid action </w:t>
      </w:r>
      <w:r w:rsidR="006720E9">
        <w:t>i</w:t>
      </w:r>
      <w:r w:rsidR="00587B8E">
        <w:t>n these matters.  A general order provides an appropriate mechanism for allowing KCPAO participation in these cases, especially since the interests of KCPA</w:t>
      </w:r>
      <w:r w:rsidR="006720E9">
        <w:t>O are general to all cases</w:t>
      </w:r>
      <w:r w:rsidR="00587B8E">
        <w:t xml:space="preserve">. </w:t>
      </w:r>
    </w:p>
    <w:p w14:paraId="2A231CA2" w14:textId="77777777" w:rsidR="00B61BAB" w:rsidRPr="00B61BAB" w:rsidRDefault="00587B8E" w:rsidP="00B61BAB">
      <w:pPr>
        <w:spacing w:line="480" w:lineRule="auto"/>
        <w:ind w:firstLine="720"/>
      </w:pPr>
      <w:r>
        <w:t>A Superior Court’</w:t>
      </w:r>
      <w:r w:rsidR="006720E9">
        <w:t>s authority to grant</w:t>
      </w:r>
      <w:r>
        <w:t xml:space="preserve"> amicus participation is broad.  </w:t>
      </w:r>
      <w:r w:rsidR="00B61BAB">
        <w:t xml:space="preserve">In </w:t>
      </w:r>
      <w:r w:rsidR="00B61BAB" w:rsidRPr="00B61BAB">
        <w:rPr>
          <w:u w:val="single"/>
        </w:rPr>
        <w:t>Parsons</w:t>
      </w:r>
      <w:r w:rsidR="00B61BAB">
        <w:t xml:space="preserve">, the trial court allowed the Washington Protection and Advocacy System, a </w:t>
      </w:r>
      <w:r w:rsidR="00C86146">
        <w:t>non-profit</w:t>
      </w:r>
      <w:r w:rsidR="00B61BAB">
        <w:t xml:space="preserve"> organization designated by the governor, to appear as amicus and provide legal argument, analysis, and information in the form of reports and studies. </w:t>
      </w:r>
      <w:r w:rsidR="00B61BAB" w:rsidRPr="00B61BAB">
        <w:rPr>
          <w:u w:val="single"/>
        </w:rPr>
        <w:t>Id</w:t>
      </w:r>
      <w:r w:rsidR="00B61BAB">
        <w:t xml:space="preserve">. at 298. On appeal, the court held that there was no rule prohibiting amicus to appear before a trial court. </w:t>
      </w:r>
      <w:r w:rsidR="00B61BAB" w:rsidRPr="00B61BAB">
        <w:rPr>
          <w:u w:val="single"/>
        </w:rPr>
        <w:t>Id</w:t>
      </w:r>
      <w:r w:rsidR="00B61BAB">
        <w:t>. at 302. The court also held that allowing amicus to submit information fell within the trial court’s discretion. “We are confident the tria</w:t>
      </w:r>
      <w:r w:rsidR="00C86146">
        <w:t>l courts are equally able to so</w:t>
      </w:r>
      <w:r w:rsidR="00B61BAB">
        <w:t>rt out what materials are proper for the court’s consideration</w:t>
      </w:r>
      <w:r w:rsidR="00C86146">
        <w:t xml:space="preserve">.” </w:t>
      </w:r>
      <w:r w:rsidR="00C86146" w:rsidRPr="00C86146">
        <w:rPr>
          <w:u w:val="single"/>
        </w:rPr>
        <w:t>Id</w:t>
      </w:r>
      <w:r w:rsidR="00C86146">
        <w:t xml:space="preserve">. </w:t>
      </w:r>
    </w:p>
    <w:p w14:paraId="200E42CD" w14:textId="77777777" w:rsidR="00C86146" w:rsidRDefault="00C86146" w:rsidP="00C86146">
      <w:pPr>
        <w:spacing w:line="480" w:lineRule="auto"/>
      </w:pPr>
      <w:r>
        <w:tab/>
        <w:t>As mentioned above, the King County Prosecutor’s Office has a</w:t>
      </w:r>
      <w:r w:rsidR="00587B8E">
        <w:t>n</w:t>
      </w:r>
      <w:r>
        <w:t xml:space="preserve"> interest in ensuring compliance </w:t>
      </w:r>
      <w:r w:rsidR="00587B8E">
        <w:t xml:space="preserve">and the proper administration of justice </w:t>
      </w:r>
      <w:r>
        <w:t>in cases where orders to surrender weapons have been issued</w:t>
      </w:r>
      <w:r w:rsidR="00F6402F">
        <w:t xml:space="preserve"> or are being contemplated by the court</w:t>
      </w:r>
      <w:r>
        <w:t>.</w:t>
      </w:r>
      <w:r w:rsidR="00587B8E">
        <w:t xml:space="preserve">  Toward these purposes</w:t>
      </w:r>
      <w:r>
        <w:t xml:space="preserve">, </w:t>
      </w:r>
      <w:r w:rsidR="00587B8E">
        <w:t>KCPAO</w:t>
      </w:r>
      <w:r>
        <w:t xml:space="preserve"> has resources </w:t>
      </w:r>
      <w:r w:rsidR="00587B8E">
        <w:t xml:space="preserve">not readily </w:t>
      </w:r>
      <w:r>
        <w:t>available to the court</w:t>
      </w:r>
      <w:r w:rsidR="002F01AB">
        <w:t>, which it can use to provide relevant information to the court.</w:t>
      </w:r>
      <w:r>
        <w:t xml:space="preserve"> For example, the King County Prosecutor’s Office can run a respondent’s firearm purchase history and obtain documentation from local law enforcement regarding firearm surrenders. In many cases, we are able to confirm a respondent’s compliance, where the court does not have the resources or ability to do so. We can also provide the court with information regarding outstanding firearms. </w:t>
      </w:r>
    </w:p>
    <w:p w14:paraId="5E25850B" w14:textId="77777777" w:rsidR="00587B8E" w:rsidRDefault="00C86146" w:rsidP="00C70B7A">
      <w:pPr>
        <w:spacing w:line="480" w:lineRule="auto"/>
        <w:ind w:firstLine="720"/>
      </w:pPr>
      <w:r>
        <w:t xml:space="preserve">The King County Prosecutor’s Office also has a public safety interest in assisting the court and local law enforcement with Extreme Risk Protection Orders. </w:t>
      </w:r>
      <w:r w:rsidR="00C70B7A">
        <w:t>Given the newness of the law allowing for these types of orders, our recent practice has shown that both local law enforcement and the court have benefitted from our presence at the calendar – both in assistance in filing the proper orders and in the legal analysis regarding the fact-specific situations.</w:t>
      </w:r>
    </w:p>
    <w:p w14:paraId="606DD747" w14:textId="77777777" w:rsidR="00C86146" w:rsidRPr="00873D15" w:rsidRDefault="00587B8E" w:rsidP="00873D15">
      <w:pPr>
        <w:spacing w:line="480" w:lineRule="auto"/>
        <w:ind w:firstLine="720"/>
        <w:jc w:val="center"/>
        <w:rPr>
          <w:u w:val="single"/>
        </w:rPr>
      </w:pPr>
      <w:r>
        <w:t>IV.</w:t>
      </w:r>
      <w:r>
        <w:tab/>
      </w:r>
      <w:r>
        <w:rPr>
          <w:u w:val="single"/>
        </w:rPr>
        <w:t>CONCLUSION</w:t>
      </w:r>
    </w:p>
    <w:p w14:paraId="70E8A84A" w14:textId="77777777" w:rsidR="00BA7CFA" w:rsidRDefault="00587B8E">
      <w:pPr>
        <w:spacing w:line="480" w:lineRule="auto"/>
        <w:ind w:firstLine="720"/>
        <w:rPr>
          <w:szCs w:val="24"/>
        </w:rPr>
      </w:pPr>
      <w:r>
        <w:t xml:space="preserve">For these reasons, </w:t>
      </w:r>
      <w:r w:rsidR="00C70B7A">
        <w:t xml:space="preserve">the King County Prosecutor’s Office </w:t>
      </w:r>
      <w:r>
        <w:t xml:space="preserve">hereby </w:t>
      </w:r>
      <w:r w:rsidR="00C86146">
        <w:t xml:space="preserve">moves the court for a general order allowing </w:t>
      </w:r>
      <w:r>
        <w:t xml:space="preserve">KCPAO’s </w:t>
      </w:r>
      <w:r w:rsidR="00C86146">
        <w:t>appearance as amicus at the firearms compliance review calendar</w:t>
      </w:r>
      <w:r w:rsidR="00C70B7A">
        <w:t xml:space="preserve"> and the extreme risk protection order calendar</w:t>
      </w:r>
      <w:r w:rsidR="00BA7CFA">
        <w:rPr>
          <w:szCs w:val="24"/>
        </w:rPr>
        <w:t xml:space="preserve">.  A county prosecutor, due to the statutory duties in RCW 36.27.020, has a special responsibility to assist with the administration of justice, especially in circumstances where a new law imposes additional (and sometimes) uncertain duties on the court. </w:t>
      </w:r>
    </w:p>
    <w:p w14:paraId="288D157F" w14:textId="77777777" w:rsidR="00BA7CFA" w:rsidRDefault="00BA7CFA">
      <w:pPr>
        <w:rPr>
          <w:szCs w:val="24"/>
        </w:rPr>
      </w:pPr>
      <w:r>
        <w:rPr>
          <w:szCs w:val="24"/>
        </w:rPr>
        <w:br w:type="page"/>
      </w:r>
    </w:p>
    <w:p w14:paraId="477E714B" w14:textId="77777777" w:rsidR="00333A16" w:rsidRDefault="00413D8D">
      <w:pPr>
        <w:spacing w:line="480" w:lineRule="auto"/>
        <w:ind w:firstLine="720"/>
        <w:rPr>
          <w:szCs w:val="24"/>
        </w:rPr>
      </w:pPr>
      <w:r>
        <w:rPr>
          <w:szCs w:val="24"/>
        </w:rPr>
        <w:t>A proposed order</w:t>
      </w:r>
      <w:r w:rsidR="00BA7CFA">
        <w:rPr>
          <w:szCs w:val="24"/>
        </w:rPr>
        <w:t xml:space="preserve"> is attached.  Per the proposed order, KCPAO recognizes that it may be appropriate to grant general amicus status to other organizations should they make an appropriate showing to the court.  </w:t>
      </w:r>
    </w:p>
    <w:p w14:paraId="58CD2103" w14:textId="77777777" w:rsidR="00333A16" w:rsidRPr="00D647B8" w:rsidRDefault="00333A16" w:rsidP="00333A16">
      <w:pPr>
        <w:spacing w:line="480" w:lineRule="auto"/>
        <w:ind w:left="720" w:firstLine="720"/>
        <w:rPr>
          <w:szCs w:val="24"/>
        </w:rPr>
      </w:pPr>
      <w:r w:rsidRPr="00D647B8">
        <w:rPr>
          <w:szCs w:val="24"/>
        </w:rPr>
        <w:t xml:space="preserve">DATED this </w:t>
      </w:r>
      <w:r>
        <w:rPr>
          <w:szCs w:val="24"/>
        </w:rPr>
        <w:t xml:space="preserve">____ </w:t>
      </w:r>
      <w:r w:rsidRPr="00D647B8">
        <w:rPr>
          <w:szCs w:val="24"/>
        </w:rPr>
        <w:t xml:space="preserve">day of </w:t>
      </w:r>
      <w:r w:rsidR="0099667B">
        <w:rPr>
          <w:szCs w:val="24"/>
        </w:rPr>
        <w:t>August</w:t>
      </w:r>
      <w:r>
        <w:rPr>
          <w:szCs w:val="24"/>
        </w:rPr>
        <w:t>, 2018</w:t>
      </w:r>
      <w:r w:rsidRPr="00D647B8">
        <w:rPr>
          <w:szCs w:val="24"/>
        </w:rPr>
        <w:t>.</w:t>
      </w:r>
    </w:p>
    <w:p w14:paraId="507856F7" w14:textId="77777777" w:rsidR="00333A16" w:rsidRDefault="00333A16" w:rsidP="00333A16">
      <w:pPr>
        <w:ind w:firstLine="720"/>
        <w:rPr>
          <w:szCs w:val="24"/>
        </w:rPr>
      </w:pPr>
      <w:r w:rsidRPr="00D647B8">
        <w:rPr>
          <w:szCs w:val="24"/>
        </w:rPr>
        <w:tab/>
      </w:r>
      <w:r w:rsidRPr="00D647B8">
        <w:rPr>
          <w:szCs w:val="24"/>
        </w:rPr>
        <w:tab/>
      </w:r>
      <w:r w:rsidRPr="00D647B8">
        <w:rPr>
          <w:szCs w:val="24"/>
        </w:rPr>
        <w:tab/>
      </w:r>
      <w:r w:rsidRPr="00D647B8">
        <w:rPr>
          <w:szCs w:val="24"/>
        </w:rPr>
        <w:tab/>
      </w:r>
      <w:r w:rsidRPr="00D647B8">
        <w:rPr>
          <w:szCs w:val="24"/>
        </w:rPr>
        <w:tab/>
        <w:t>DAN SATTERBERG</w:t>
      </w:r>
    </w:p>
    <w:p w14:paraId="33AD2AA2" w14:textId="77777777" w:rsidR="00333A16" w:rsidRDefault="00333A16" w:rsidP="00333A16">
      <w:pPr>
        <w:ind w:left="4320"/>
        <w:rPr>
          <w:szCs w:val="24"/>
        </w:rPr>
      </w:pPr>
      <w:r w:rsidRPr="00D647B8">
        <w:rPr>
          <w:szCs w:val="24"/>
        </w:rPr>
        <w:t>King County Prosecuting Attorney</w:t>
      </w:r>
    </w:p>
    <w:p w14:paraId="154947B8" w14:textId="77777777" w:rsidR="00333A16" w:rsidRDefault="00333A16" w:rsidP="00333A16">
      <w:pPr>
        <w:ind w:left="4320"/>
        <w:rPr>
          <w:szCs w:val="24"/>
        </w:rPr>
      </w:pPr>
    </w:p>
    <w:p w14:paraId="37512088" w14:textId="77777777" w:rsidR="00333A16" w:rsidRPr="00D647B8" w:rsidRDefault="00333A16" w:rsidP="00333A16">
      <w:pPr>
        <w:ind w:left="4320"/>
        <w:rPr>
          <w:szCs w:val="24"/>
        </w:rPr>
      </w:pPr>
    </w:p>
    <w:p w14:paraId="3E59CE35" w14:textId="77777777" w:rsidR="00333A16" w:rsidRPr="00D647B8" w:rsidRDefault="00333A16" w:rsidP="00333A16">
      <w:pPr>
        <w:ind w:firstLine="720"/>
        <w:rPr>
          <w:szCs w:val="24"/>
        </w:rPr>
      </w:pPr>
      <w:r w:rsidRPr="00D647B8">
        <w:rPr>
          <w:szCs w:val="24"/>
        </w:rPr>
        <w:tab/>
      </w:r>
      <w:r w:rsidRPr="00D647B8">
        <w:rPr>
          <w:szCs w:val="24"/>
        </w:rPr>
        <w:tab/>
      </w:r>
      <w:r w:rsidRPr="00D647B8">
        <w:rPr>
          <w:szCs w:val="24"/>
        </w:rPr>
        <w:tab/>
      </w:r>
      <w:r w:rsidRPr="00D647B8">
        <w:rPr>
          <w:szCs w:val="24"/>
        </w:rPr>
        <w:tab/>
      </w:r>
      <w:r w:rsidRPr="00D647B8">
        <w:rPr>
          <w:szCs w:val="24"/>
        </w:rPr>
        <w:tab/>
        <w:t>By: _____________________________</w:t>
      </w:r>
    </w:p>
    <w:p w14:paraId="1648A810" w14:textId="77777777" w:rsidR="00333A16" w:rsidRPr="00D647B8" w:rsidRDefault="00333A16" w:rsidP="00333A16">
      <w:pPr>
        <w:ind w:firstLine="720"/>
        <w:rPr>
          <w:szCs w:val="24"/>
        </w:rPr>
      </w:pPr>
      <w:r w:rsidRPr="00D647B8">
        <w:rPr>
          <w:szCs w:val="24"/>
        </w:rPr>
        <w:tab/>
      </w:r>
      <w:r w:rsidRPr="00D647B8">
        <w:rPr>
          <w:szCs w:val="24"/>
        </w:rPr>
        <w:tab/>
      </w:r>
      <w:r w:rsidRPr="00D647B8">
        <w:rPr>
          <w:szCs w:val="24"/>
        </w:rPr>
        <w:tab/>
      </w:r>
      <w:r w:rsidRPr="00D647B8">
        <w:rPr>
          <w:szCs w:val="24"/>
        </w:rPr>
        <w:tab/>
      </w:r>
      <w:r w:rsidRPr="00D647B8">
        <w:rPr>
          <w:szCs w:val="24"/>
        </w:rPr>
        <w:tab/>
        <w:t xml:space="preserve">      </w:t>
      </w:r>
      <w:r w:rsidR="0099667B">
        <w:rPr>
          <w:szCs w:val="24"/>
        </w:rPr>
        <w:t xml:space="preserve">Mark </w:t>
      </w:r>
      <w:r>
        <w:rPr>
          <w:szCs w:val="24"/>
        </w:rPr>
        <w:t>Larson</w:t>
      </w:r>
      <w:r w:rsidRPr="00D647B8">
        <w:rPr>
          <w:szCs w:val="24"/>
        </w:rPr>
        <w:t xml:space="preserve">, WSBA# </w:t>
      </w:r>
      <w:r w:rsidR="0099667B">
        <w:rPr>
          <w:szCs w:val="24"/>
        </w:rPr>
        <w:t>15328</w:t>
      </w:r>
    </w:p>
    <w:p w14:paraId="7C643B5C" w14:textId="77777777" w:rsidR="00333A16" w:rsidRDefault="00333A16" w:rsidP="00873D15">
      <w:pPr>
        <w:ind w:firstLine="720"/>
      </w:pPr>
      <w:r w:rsidRPr="00D647B8">
        <w:rPr>
          <w:szCs w:val="24"/>
        </w:rPr>
        <w:tab/>
      </w:r>
      <w:r w:rsidRPr="00D647B8">
        <w:rPr>
          <w:szCs w:val="24"/>
        </w:rPr>
        <w:tab/>
      </w:r>
      <w:r w:rsidRPr="00D647B8">
        <w:rPr>
          <w:szCs w:val="24"/>
        </w:rPr>
        <w:tab/>
      </w:r>
      <w:r w:rsidRPr="00D647B8">
        <w:rPr>
          <w:szCs w:val="24"/>
        </w:rPr>
        <w:tab/>
      </w:r>
      <w:r w:rsidRPr="00D647B8">
        <w:rPr>
          <w:szCs w:val="24"/>
        </w:rPr>
        <w:tab/>
        <w:t xml:space="preserve">      Deputy Prosecuting Attorney</w:t>
      </w:r>
    </w:p>
    <w:p w14:paraId="2C46388D" w14:textId="77777777" w:rsidR="00BA7CFA" w:rsidRDefault="00BA7CFA"/>
    <w:p w14:paraId="1CF44414" w14:textId="77777777" w:rsidR="006A00E7" w:rsidRDefault="006A00E7" w:rsidP="00FE37E9">
      <w:pPr>
        <w:jc w:val="center"/>
        <w:sectPr w:rsidR="006A00E7" w:rsidSect="00F80F87">
          <w:headerReference w:type="default" r:id="rId7"/>
          <w:footerReference w:type="default" r:id="rId8"/>
          <w:endnotePr>
            <w:numFmt w:val="decimal"/>
          </w:endnotePr>
          <w:pgSz w:w="12240" w:h="15840" w:code="1"/>
          <w:pgMar w:top="-1483" w:right="1440" w:bottom="1440" w:left="1440" w:header="1440" w:footer="720" w:gutter="0"/>
          <w:pgNumType w:start="1"/>
          <w:cols w:space="720"/>
          <w:noEndnote/>
          <w:docGrid w:linePitch="326"/>
        </w:sectPr>
      </w:pPr>
    </w:p>
    <w:p w14:paraId="61E47859" w14:textId="77777777" w:rsidR="00FE37E9" w:rsidRDefault="00FE37E9" w:rsidP="00FE37E9">
      <w:pPr>
        <w:jc w:val="center"/>
      </w:pPr>
      <w:r>
        <w:t>SUPERIOR COURT OF WASHINGTON FOR KING COUNTY</w:t>
      </w:r>
    </w:p>
    <w:p w14:paraId="14E9DA4F" w14:textId="77777777" w:rsidR="00FE37E9" w:rsidRDefault="00FE37E9" w:rsidP="00FE37E9">
      <w:pPr>
        <w:jc w:val="center"/>
      </w:pPr>
    </w:p>
    <w:tbl>
      <w:tblPr>
        <w:tblW w:w="0" w:type="auto"/>
        <w:tblLayout w:type="fixed"/>
        <w:tblCellMar>
          <w:left w:w="0" w:type="dxa"/>
          <w:right w:w="0" w:type="dxa"/>
        </w:tblCellMar>
        <w:tblLook w:val="0000" w:firstRow="0" w:lastRow="0" w:firstColumn="0" w:lastColumn="0" w:noHBand="0" w:noVBand="0"/>
      </w:tblPr>
      <w:tblGrid>
        <w:gridCol w:w="4950"/>
        <w:gridCol w:w="360"/>
        <w:gridCol w:w="360"/>
        <w:gridCol w:w="3960"/>
      </w:tblGrid>
      <w:tr w:rsidR="00FE37E9" w14:paraId="44D711D9" w14:textId="77777777" w:rsidTr="005A092B">
        <w:tc>
          <w:tcPr>
            <w:tcW w:w="4950" w:type="dxa"/>
            <w:tcBorders>
              <w:bottom w:val="single" w:sz="6" w:space="0" w:color="auto"/>
            </w:tcBorders>
          </w:tcPr>
          <w:p w14:paraId="6A68B25B" w14:textId="77777777" w:rsidR="00FE37E9" w:rsidRDefault="00FE37E9" w:rsidP="005A092B"/>
          <w:p w14:paraId="4D8F4CF6" w14:textId="77777777" w:rsidR="00FE37E9" w:rsidRDefault="00FE37E9" w:rsidP="005A092B"/>
          <w:p w14:paraId="0D885588" w14:textId="77777777" w:rsidR="00BA7CFA" w:rsidRDefault="00BA7CFA" w:rsidP="005A092B">
            <w:r>
              <w:t>In re the Matter of :</w:t>
            </w:r>
          </w:p>
          <w:p w14:paraId="424605EB" w14:textId="77777777" w:rsidR="00BA7CFA" w:rsidRDefault="00BA7CFA" w:rsidP="005A092B"/>
          <w:p w14:paraId="135DD51A" w14:textId="77777777" w:rsidR="00FE37E9" w:rsidRDefault="00BA7CFA" w:rsidP="005A092B">
            <w:r w:rsidRPr="00BA7CFA">
              <w:t>AMICUS APPEARANCE OF THE KING COUNTY PROSECUTING ATTORNEY’S OFFICE IN FIREARM PROTECTION ORDER MATTERS</w:t>
            </w:r>
          </w:p>
        </w:tc>
        <w:tc>
          <w:tcPr>
            <w:tcW w:w="360" w:type="dxa"/>
            <w:tcBorders>
              <w:bottom w:val="single" w:sz="6" w:space="0" w:color="auto"/>
            </w:tcBorders>
          </w:tcPr>
          <w:p w14:paraId="11C4F9ED" w14:textId="77777777" w:rsidR="00FE37E9" w:rsidRDefault="00FE37E9" w:rsidP="005A092B">
            <w:pPr>
              <w:tabs>
                <w:tab w:val="left" w:pos="2880"/>
              </w:tabs>
            </w:pPr>
          </w:p>
        </w:tc>
        <w:tc>
          <w:tcPr>
            <w:tcW w:w="360" w:type="dxa"/>
          </w:tcPr>
          <w:p w14:paraId="4CB4A468" w14:textId="77777777" w:rsidR="00FE37E9" w:rsidRDefault="00FE37E9" w:rsidP="005A092B">
            <w:r>
              <w:t>)</w:t>
            </w:r>
          </w:p>
          <w:p w14:paraId="4914032C" w14:textId="77777777" w:rsidR="00FE37E9" w:rsidRDefault="00FE37E9" w:rsidP="005A092B">
            <w:r>
              <w:t>)</w:t>
            </w:r>
            <w:r>
              <w:br/>
              <w:t>)</w:t>
            </w:r>
            <w:r>
              <w:br/>
              <w:t>)</w:t>
            </w:r>
            <w:r>
              <w:br/>
              <w:t>)</w:t>
            </w:r>
            <w:r>
              <w:br/>
              <w:t>)</w:t>
            </w:r>
            <w:r>
              <w:br/>
              <w:t>)</w:t>
            </w:r>
            <w:r>
              <w:br/>
              <w:t>)</w:t>
            </w:r>
            <w:r>
              <w:br/>
              <w:t>)</w:t>
            </w:r>
            <w:r>
              <w:br/>
              <w:t>)</w:t>
            </w:r>
            <w:r>
              <w:br/>
              <w:t>)</w:t>
            </w:r>
          </w:p>
          <w:p w14:paraId="1FCA7D36" w14:textId="77777777" w:rsidR="00FE37E9" w:rsidRDefault="00FE37E9" w:rsidP="005A092B">
            <w:r>
              <w:t>)</w:t>
            </w:r>
          </w:p>
        </w:tc>
        <w:tc>
          <w:tcPr>
            <w:tcW w:w="3960" w:type="dxa"/>
          </w:tcPr>
          <w:p w14:paraId="36324C5F" w14:textId="77777777" w:rsidR="00FE37E9" w:rsidRDefault="00BA7CFA" w:rsidP="005A092B">
            <w:r>
              <w:t>No.</w:t>
            </w:r>
          </w:p>
          <w:p w14:paraId="42A8A47D" w14:textId="77777777" w:rsidR="00BA7CFA" w:rsidRDefault="00BA7CFA" w:rsidP="005A092B"/>
          <w:p w14:paraId="5ABB304B" w14:textId="77777777" w:rsidR="00FE37E9" w:rsidRDefault="00FE37E9">
            <w:r>
              <w:t>GENERAL ORDER</w:t>
            </w:r>
            <w:r w:rsidR="00BA7CFA">
              <w:t xml:space="preserve"> ALLOWING</w:t>
            </w:r>
          </w:p>
          <w:p w14:paraId="5A3881C4" w14:textId="77777777" w:rsidR="00FE37E9" w:rsidRDefault="00FE37E9">
            <w:r>
              <w:t xml:space="preserve">KING COUNTY PROSECUTOR’S OFFICE TO </w:t>
            </w:r>
            <w:r w:rsidR="00BA7CFA">
              <w:t>APPEAR</w:t>
            </w:r>
            <w:r>
              <w:t xml:space="preserve"> AS AMICUS AT FIREARM COMPLIANCE REVIEW HEARINGS AND EXTREME RISK PROTECTION ORDER HEARINGS </w:t>
            </w:r>
          </w:p>
        </w:tc>
      </w:tr>
    </w:tbl>
    <w:p w14:paraId="09D47CEA" w14:textId="77777777" w:rsidR="00FE37E9" w:rsidRDefault="00FE37E9" w:rsidP="00333A16">
      <w:pPr>
        <w:ind w:left="360"/>
      </w:pPr>
    </w:p>
    <w:p w14:paraId="37C8D0A2" w14:textId="77777777" w:rsidR="00CD2978" w:rsidRDefault="00FE37E9" w:rsidP="00873D15">
      <w:pPr>
        <w:spacing w:line="480" w:lineRule="auto"/>
        <w:ind w:firstLine="720"/>
      </w:pPr>
      <w:r w:rsidRPr="00FE37E9">
        <w:t xml:space="preserve">THIS MATTER </w:t>
      </w:r>
      <w:r w:rsidR="00CD2978">
        <w:t>came</w:t>
      </w:r>
      <w:r w:rsidRPr="00FE37E9">
        <w:t xml:space="preserve"> before the Presiding Judge upon the motion of the King County Prosecutor’s Office for a general order allowing </w:t>
      </w:r>
      <w:r w:rsidR="006A00E7">
        <w:t>KCPAO</w:t>
      </w:r>
      <w:r w:rsidRPr="00FE37E9">
        <w:t xml:space="preserve"> to appear as amicus curiae at the firearm compliance review calendar and the extreme risk protection order calendar</w:t>
      </w:r>
      <w:r w:rsidR="00CD2978">
        <w:t xml:space="preserve">.  Having considered KCPAO’s motion and </w:t>
      </w:r>
      <w:r w:rsidR="006720E9">
        <w:t>finding that KCPAO’s participation as amicus could</w:t>
      </w:r>
      <w:r w:rsidR="00CD2978">
        <w:t xml:space="preserve"> assist the court, </w:t>
      </w:r>
    </w:p>
    <w:p w14:paraId="2DF8B676" w14:textId="77777777" w:rsidR="00FE37E9" w:rsidRDefault="00FE37E9" w:rsidP="00873D15">
      <w:pPr>
        <w:spacing w:line="480" w:lineRule="auto"/>
        <w:ind w:firstLine="720"/>
      </w:pPr>
      <w:r>
        <w:t>IT IS HEREBY ORDERED</w:t>
      </w:r>
      <w:r w:rsidR="006720E9">
        <w:t xml:space="preserve"> </w:t>
      </w:r>
      <w:r>
        <w:t>that the King County Prosecutor’s Office may appear as amicus curiae at the firearm compliance review calendar and the extreme risk protection order calendar</w:t>
      </w:r>
      <w:r w:rsidR="00CD2978">
        <w:t xml:space="preserve"> without the need to file individual amicus requests in each case</w:t>
      </w:r>
      <w:r>
        <w:t>.</w:t>
      </w:r>
      <w:r w:rsidR="00CD2978">
        <w:t xml:space="preserve">  </w:t>
      </w:r>
      <w:r>
        <w:t xml:space="preserve">Any other party </w:t>
      </w:r>
      <w:r w:rsidR="00CD2978">
        <w:t xml:space="preserve">also </w:t>
      </w:r>
      <w:r>
        <w:t xml:space="preserve">wishing to appear </w:t>
      </w:r>
      <w:r w:rsidR="00CD2978">
        <w:t>i</w:t>
      </w:r>
      <w:r>
        <w:t xml:space="preserve">n these matters as amicus may </w:t>
      </w:r>
      <w:r w:rsidR="00CD2978">
        <w:t>submit</w:t>
      </w:r>
      <w:r>
        <w:t xml:space="preserve"> a motion </w:t>
      </w:r>
      <w:r w:rsidR="00CD2978">
        <w:t xml:space="preserve">for consideration by the </w:t>
      </w:r>
      <w:r>
        <w:t xml:space="preserve">Presiding Judge. </w:t>
      </w:r>
    </w:p>
    <w:p w14:paraId="397C9E04" w14:textId="77777777" w:rsidR="00FE37E9" w:rsidRDefault="00FE37E9" w:rsidP="00FE37E9">
      <w:pPr>
        <w:ind w:firstLine="720"/>
      </w:pPr>
    </w:p>
    <w:p w14:paraId="7CC6CE6D" w14:textId="77777777" w:rsidR="00FE37E9" w:rsidRDefault="00FE37E9" w:rsidP="00FE37E9">
      <w:pPr>
        <w:ind w:firstLine="720"/>
      </w:pPr>
      <w:r>
        <w:t xml:space="preserve">DONE IN OPEN COURT this _______ day of </w:t>
      </w:r>
      <w:r w:rsidR="0099667B">
        <w:t>August</w:t>
      </w:r>
      <w:r>
        <w:t>, 2018,</w:t>
      </w:r>
    </w:p>
    <w:p w14:paraId="71EA16AB" w14:textId="77777777" w:rsidR="00FE37E9" w:rsidRDefault="00FE37E9" w:rsidP="00FE37E9">
      <w:pPr>
        <w:ind w:firstLine="720"/>
      </w:pPr>
    </w:p>
    <w:p w14:paraId="3C748DB1" w14:textId="77777777" w:rsidR="00FE37E9" w:rsidRDefault="00FE37E9" w:rsidP="00FE37E9">
      <w:pPr>
        <w:ind w:firstLine="720"/>
      </w:pPr>
    </w:p>
    <w:p w14:paraId="5E6C849C" w14:textId="77777777" w:rsidR="00FE37E9" w:rsidRDefault="00FE37E9" w:rsidP="00FE37E9">
      <w:pPr>
        <w:ind w:firstLine="720"/>
      </w:pPr>
    </w:p>
    <w:p w14:paraId="04282F30" w14:textId="77777777" w:rsidR="00FE37E9" w:rsidRDefault="00FE37E9" w:rsidP="00FE37E9">
      <w:pPr>
        <w:ind w:firstLine="720"/>
      </w:pPr>
      <w:r>
        <w:tab/>
      </w:r>
      <w:r>
        <w:tab/>
      </w:r>
      <w:r>
        <w:tab/>
      </w:r>
      <w:r>
        <w:tab/>
      </w:r>
      <w:r>
        <w:tab/>
        <w:t>______________________________</w:t>
      </w:r>
    </w:p>
    <w:p w14:paraId="14A7081A" w14:textId="77777777" w:rsidR="00FE37E9" w:rsidRDefault="00FE37E9" w:rsidP="00FE37E9">
      <w:pPr>
        <w:ind w:firstLine="720"/>
      </w:pPr>
      <w:r>
        <w:tab/>
      </w:r>
      <w:r>
        <w:tab/>
      </w:r>
      <w:r>
        <w:tab/>
      </w:r>
      <w:r>
        <w:tab/>
      </w:r>
      <w:r>
        <w:tab/>
        <w:t>Chief Presiding Judge</w:t>
      </w:r>
    </w:p>
    <w:sectPr w:rsidR="00FE37E9" w:rsidSect="00F80F87">
      <w:endnotePr>
        <w:numFmt w:val="decimal"/>
      </w:endnotePr>
      <w:pgSz w:w="12240" w:h="15840" w:code="1"/>
      <w:pgMar w:top="-1483" w:right="1440" w:bottom="1440" w:left="144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0EB7" w14:textId="77777777" w:rsidR="00BB155F" w:rsidRDefault="00BB155F">
      <w:pPr>
        <w:spacing w:line="20" w:lineRule="exact"/>
      </w:pPr>
    </w:p>
  </w:endnote>
  <w:endnote w:type="continuationSeparator" w:id="0">
    <w:p w14:paraId="5FC8CEF6" w14:textId="77777777" w:rsidR="00BB155F" w:rsidRDefault="00BB155F">
      <w:r>
        <w:t xml:space="preserve"> </w:t>
      </w:r>
    </w:p>
  </w:endnote>
  <w:endnote w:type="continuationNotice" w:id="1">
    <w:p w14:paraId="054FED72" w14:textId="77777777" w:rsidR="00BB155F" w:rsidRDefault="00BB15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1C2B" w14:textId="77777777" w:rsidR="00F80F87" w:rsidRDefault="00BA7CFA" w:rsidP="00BA7CFA">
    <w:pPr>
      <w:pStyle w:val="Footer"/>
      <w:ind w:right="3888"/>
    </w:pPr>
    <w:r w:rsidRPr="00BA7CFA">
      <w:t>GENERAL ORDER ALLOWING</w:t>
    </w:r>
    <w:r w:rsidR="006A00E7">
      <w:t xml:space="preserve"> KCPAO </w:t>
    </w:r>
    <w:r w:rsidRPr="00BA7CFA">
      <w:t xml:space="preserve">TO APPEAR AS AMICUS </w:t>
    </w:r>
    <w:r w:rsidR="00F80F87">
      <w:t xml:space="preserve">- </w:t>
    </w:r>
    <w:r w:rsidR="00F80F87">
      <w:fldChar w:fldCharType="begin"/>
    </w:r>
    <w:r w:rsidR="00F80F87">
      <w:instrText xml:space="preserve"> PAGE  \* MERGEFORMAT </w:instrText>
    </w:r>
    <w:r w:rsidR="00F80F87">
      <w:fldChar w:fldCharType="separate"/>
    </w:r>
    <w:r w:rsidR="0099667B">
      <w:rPr>
        <w:noProof/>
      </w:rPr>
      <w:t>1</w:t>
    </w:r>
    <w:r w:rsidR="00F80F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D5768" w14:textId="77777777" w:rsidR="00BB155F" w:rsidRDefault="00BB155F">
      <w:r>
        <w:separator/>
      </w:r>
    </w:p>
  </w:footnote>
  <w:footnote w:type="continuationSeparator" w:id="0">
    <w:p w14:paraId="26C12C6C" w14:textId="77777777" w:rsidR="00BB155F" w:rsidRDefault="00BB155F">
      <w:r>
        <w:continuationSeparator/>
      </w:r>
    </w:p>
  </w:footnote>
  <w:footnote w:id="1">
    <w:p w14:paraId="27C9943E" w14:textId="77777777" w:rsidR="00C83840" w:rsidRPr="002F3830" w:rsidRDefault="00C83840" w:rsidP="00C83840">
      <w:pPr>
        <w:pStyle w:val="FootnoteText"/>
      </w:pPr>
      <w:r w:rsidRPr="002F3830">
        <w:rPr>
          <w:rStyle w:val="FootnoteReference"/>
        </w:rPr>
        <w:footnoteRef/>
      </w:r>
      <w:r w:rsidRPr="002F3830">
        <w:t xml:space="preserve"> Washington State Coalition Against Domestic Violence </w:t>
      </w:r>
    </w:p>
  </w:footnote>
  <w:footnote w:id="2">
    <w:p w14:paraId="7B48E2E4" w14:textId="77777777" w:rsidR="00C83840" w:rsidRDefault="00C83840" w:rsidP="00C83840">
      <w:pPr>
        <w:pStyle w:val="FootnoteText"/>
      </w:pPr>
      <w:r>
        <w:rPr>
          <w:rStyle w:val="FootnoteReference"/>
        </w:rPr>
        <w:footnoteRef/>
      </w:r>
      <w:r>
        <w:t xml:space="preserve"> </w:t>
      </w:r>
      <w:r>
        <w:rPr>
          <w:color w:val="444444"/>
        </w:rPr>
        <w:t>J</w:t>
      </w:r>
      <w:r w:rsidRPr="002F3830">
        <w:rPr>
          <w:color w:val="444444"/>
        </w:rPr>
        <w:t xml:space="preserve">.C. Campbell, D.W. Webster, J. Koziol-McLain, et al., “Risk factors for femicide within physically abusive intimate relationships: results from a multi-site case control study,” 93 Amer. J. </w:t>
      </w:r>
      <w:r>
        <w:rPr>
          <w:color w:val="444444"/>
        </w:rPr>
        <w:t>of Public Health 1089-1097 (2003).</w:t>
      </w:r>
    </w:p>
  </w:footnote>
  <w:footnote w:id="3">
    <w:p w14:paraId="363532E6" w14:textId="77777777" w:rsidR="00C83840" w:rsidRDefault="00C83840" w:rsidP="00C83840">
      <w:pPr>
        <w:pStyle w:val="FootnoteText"/>
      </w:pPr>
      <w:r>
        <w:rPr>
          <w:rStyle w:val="FootnoteReference"/>
        </w:rPr>
        <w:footnoteRef/>
      </w:r>
      <w:r>
        <w:t xml:space="preserve"> National Law Enforcement Officers Memorial Fund </w:t>
      </w:r>
    </w:p>
  </w:footnote>
  <w:footnote w:id="4">
    <w:p w14:paraId="31EE74F3" w14:textId="77777777" w:rsidR="00C83840" w:rsidRDefault="00C83840" w:rsidP="00C83840">
      <w:pPr>
        <w:pStyle w:val="FootnoteText"/>
      </w:pPr>
      <w:r w:rsidRPr="002F3830">
        <w:rPr>
          <w:rStyle w:val="FootnoteReference"/>
        </w:rPr>
        <w:footnoteRef/>
      </w:r>
      <w:r w:rsidRPr="002F3830">
        <w:t xml:space="preserve"> New England Journal of Medicine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02B3" w14:textId="77777777" w:rsidR="00F80F87" w:rsidRDefault="00F80F87" w:rsidP="00F80F87">
    <w:pPr>
      <w:tabs>
        <w:tab w:val="left" w:pos="-720"/>
      </w:tabs>
      <w:suppressAutoHyphens/>
      <w:spacing w:line="480" w:lineRule="auto"/>
      <w:ind w:hanging="504"/>
    </w:pPr>
    <w:r>
      <w:rPr>
        <w:noProof/>
      </w:rPr>
      <mc:AlternateContent>
        <mc:Choice Requires="wps">
          <w:drawing>
            <wp:anchor distT="0" distB="0" distL="114300" distR="114300" simplePos="0" relativeHeight="251662336" behindDoc="0" locked="0" layoutInCell="1" allowOverlap="1" wp14:anchorId="361D9724" wp14:editId="283C2216">
              <wp:simplePos x="0" y="0"/>
              <wp:positionH relativeFrom="page">
                <wp:posOffset>274320</wp:posOffset>
              </wp:positionH>
              <wp:positionV relativeFrom="page">
                <wp:posOffset>905510</wp:posOffset>
              </wp:positionV>
              <wp:extent cx="457200" cy="8229600"/>
              <wp:effectExtent l="0" t="0" r="0" b="0"/>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06D95" w14:textId="77777777" w:rsidR="00F80F87" w:rsidRDefault="00F80F87" w:rsidP="00F80F87">
                          <w:pPr>
                            <w:jc w:val="right"/>
                          </w:pPr>
                          <w:r>
                            <w:t>1</w:t>
                          </w:r>
                        </w:p>
                        <w:p w14:paraId="74D89B22" w14:textId="77777777" w:rsidR="00F80F87" w:rsidRDefault="00F80F87" w:rsidP="00F80F87">
                          <w:pPr>
                            <w:jc w:val="right"/>
                          </w:pPr>
                        </w:p>
                        <w:p w14:paraId="34C4556C" w14:textId="77777777" w:rsidR="00F80F87" w:rsidRDefault="00F80F87" w:rsidP="00F80F87">
                          <w:pPr>
                            <w:jc w:val="right"/>
                          </w:pPr>
                          <w:r>
                            <w:t>2</w:t>
                          </w:r>
                        </w:p>
                        <w:p w14:paraId="6B0DE3A1" w14:textId="77777777" w:rsidR="00F80F87" w:rsidRDefault="00F80F87" w:rsidP="00F80F87">
                          <w:pPr>
                            <w:jc w:val="right"/>
                          </w:pPr>
                        </w:p>
                        <w:p w14:paraId="0EE277B3" w14:textId="77777777" w:rsidR="00F80F87" w:rsidRDefault="00F80F87" w:rsidP="00F80F87">
                          <w:pPr>
                            <w:jc w:val="right"/>
                          </w:pPr>
                          <w:r>
                            <w:t>3</w:t>
                          </w:r>
                        </w:p>
                        <w:p w14:paraId="2116CA32" w14:textId="77777777" w:rsidR="00F80F87" w:rsidRDefault="00F80F87" w:rsidP="00F80F87">
                          <w:pPr>
                            <w:jc w:val="right"/>
                          </w:pPr>
                        </w:p>
                        <w:p w14:paraId="0257B48A" w14:textId="77777777" w:rsidR="00F80F87" w:rsidRDefault="00F80F87" w:rsidP="00F80F87">
                          <w:pPr>
                            <w:jc w:val="right"/>
                          </w:pPr>
                          <w:r>
                            <w:t>4</w:t>
                          </w:r>
                        </w:p>
                        <w:p w14:paraId="79B5B379" w14:textId="77777777" w:rsidR="00F80F87" w:rsidRDefault="00F80F87" w:rsidP="00F80F87">
                          <w:pPr>
                            <w:jc w:val="right"/>
                          </w:pPr>
                        </w:p>
                        <w:p w14:paraId="4AB322A5" w14:textId="77777777" w:rsidR="00F80F87" w:rsidRDefault="00F80F87" w:rsidP="00F80F87">
                          <w:pPr>
                            <w:jc w:val="right"/>
                          </w:pPr>
                          <w:r>
                            <w:t>5</w:t>
                          </w:r>
                        </w:p>
                        <w:p w14:paraId="5544DDE5" w14:textId="77777777" w:rsidR="00F80F87" w:rsidRDefault="00F80F87" w:rsidP="00F80F87">
                          <w:pPr>
                            <w:jc w:val="right"/>
                          </w:pPr>
                        </w:p>
                        <w:p w14:paraId="4E017EBF" w14:textId="77777777" w:rsidR="00F80F87" w:rsidRDefault="00F80F87" w:rsidP="00F80F87">
                          <w:pPr>
                            <w:jc w:val="right"/>
                          </w:pPr>
                          <w:r>
                            <w:t>6</w:t>
                          </w:r>
                        </w:p>
                        <w:p w14:paraId="2A683616" w14:textId="77777777" w:rsidR="00F80F87" w:rsidRDefault="00F80F87" w:rsidP="00F80F87">
                          <w:pPr>
                            <w:jc w:val="right"/>
                          </w:pPr>
                        </w:p>
                        <w:p w14:paraId="7AEFB584" w14:textId="77777777" w:rsidR="00F80F87" w:rsidRDefault="00F80F87" w:rsidP="00F80F87">
                          <w:pPr>
                            <w:jc w:val="right"/>
                          </w:pPr>
                          <w:r>
                            <w:t>7</w:t>
                          </w:r>
                        </w:p>
                        <w:p w14:paraId="59138CC0" w14:textId="77777777" w:rsidR="00F80F87" w:rsidRDefault="00F80F87" w:rsidP="00F80F87">
                          <w:pPr>
                            <w:jc w:val="right"/>
                          </w:pPr>
                        </w:p>
                        <w:p w14:paraId="5E0B8F12" w14:textId="77777777" w:rsidR="00F80F87" w:rsidRDefault="00F80F87" w:rsidP="00F80F87">
                          <w:pPr>
                            <w:jc w:val="right"/>
                          </w:pPr>
                          <w:r>
                            <w:t>8</w:t>
                          </w:r>
                        </w:p>
                        <w:p w14:paraId="7C7C7FE6" w14:textId="77777777" w:rsidR="00F80F87" w:rsidRDefault="00F80F87" w:rsidP="00F80F87">
                          <w:pPr>
                            <w:jc w:val="right"/>
                          </w:pPr>
                        </w:p>
                        <w:p w14:paraId="4F439D01" w14:textId="77777777" w:rsidR="00F80F87" w:rsidRDefault="00F80F87" w:rsidP="00F80F87">
                          <w:pPr>
                            <w:jc w:val="right"/>
                          </w:pPr>
                          <w:r>
                            <w:t>9</w:t>
                          </w:r>
                        </w:p>
                        <w:p w14:paraId="6FEB1257" w14:textId="77777777" w:rsidR="00F80F87" w:rsidRDefault="00F80F87" w:rsidP="00F80F87">
                          <w:pPr>
                            <w:jc w:val="right"/>
                          </w:pPr>
                        </w:p>
                        <w:p w14:paraId="282B91C9" w14:textId="77777777" w:rsidR="00F80F87" w:rsidRDefault="00F80F87" w:rsidP="00F80F87">
                          <w:pPr>
                            <w:jc w:val="right"/>
                          </w:pPr>
                          <w:r>
                            <w:t>10</w:t>
                          </w:r>
                        </w:p>
                        <w:p w14:paraId="2A84A15D" w14:textId="77777777" w:rsidR="00F80F87" w:rsidRDefault="00F80F87" w:rsidP="00F80F87">
                          <w:pPr>
                            <w:jc w:val="right"/>
                          </w:pPr>
                        </w:p>
                        <w:p w14:paraId="3D2F425B" w14:textId="77777777" w:rsidR="00F80F87" w:rsidRDefault="00F80F87" w:rsidP="00F80F87">
                          <w:pPr>
                            <w:jc w:val="right"/>
                          </w:pPr>
                          <w:r>
                            <w:t>11</w:t>
                          </w:r>
                        </w:p>
                        <w:p w14:paraId="5911612B" w14:textId="77777777" w:rsidR="00F80F87" w:rsidRDefault="00F80F87" w:rsidP="00F80F87">
                          <w:pPr>
                            <w:jc w:val="right"/>
                          </w:pPr>
                        </w:p>
                        <w:p w14:paraId="0AC98CBC" w14:textId="77777777" w:rsidR="00F80F87" w:rsidRDefault="00F80F87" w:rsidP="00F80F87">
                          <w:pPr>
                            <w:jc w:val="right"/>
                          </w:pPr>
                          <w:r>
                            <w:t>12</w:t>
                          </w:r>
                        </w:p>
                        <w:p w14:paraId="7128C12A" w14:textId="77777777" w:rsidR="00F80F87" w:rsidRDefault="00F80F87" w:rsidP="00F80F87">
                          <w:pPr>
                            <w:jc w:val="right"/>
                          </w:pPr>
                        </w:p>
                        <w:p w14:paraId="4387634A" w14:textId="77777777" w:rsidR="00F80F87" w:rsidRDefault="00F80F87" w:rsidP="00F80F87">
                          <w:pPr>
                            <w:jc w:val="right"/>
                          </w:pPr>
                          <w:r>
                            <w:t>13</w:t>
                          </w:r>
                        </w:p>
                        <w:p w14:paraId="3BF8F19D" w14:textId="77777777" w:rsidR="00F80F87" w:rsidRDefault="00F80F87" w:rsidP="00F80F87">
                          <w:pPr>
                            <w:jc w:val="right"/>
                          </w:pPr>
                        </w:p>
                        <w:p w14:paraId="5859E4CF" w14:textId="77777777" w:rsidR="00F80F87" w:rsidRDefault="00F80F87" w:rsidP="00F80F87">
                          <w:pPr>
                            <w:jc w:val="right"/>
                          </w:pPr>
                          <w:r>
                            <w:t>14</w:t>
                          </w:r>
                        </w:p>
                        <w:p w14:paraId="0BABABB3" w14:textId="77777777" w:rsidR="00F80F87" w:rsidRDefault="00F80F87" w:rsidP="00F80F87">
                          <w:pPr>
                            <w:jc w:val="right"/>
                          </w:pPr>
                        </w:p>
                        <w:p w14:paraId="53E6A4FA" w14:textId="77777777" w:rsidR="00F80F87" w:rsidRDefault="00F80F87" w:rsidP="00F80F87">
                          <w:pPr>
                            <w:jc w:val="right"/>
                          </w:pPr>
                          <w:r>
                            <w:t>15</w:t>
                          </w:r>
                        </w:p>
                        <w:p w14:paraId="5253F871" w14:textId="77777777" w:rsidR="00F80F87" w:rsidRDefault="00F80F87" w:rsidP="00F80F87">
                          <w:pPr>
                            <w:jc w:val="right"/>
                          </w:pPr>
                        </w:p>
                        <w:p w14:paraId="7A6ED6EC" w14:textId="77777777" w:rsidR="00F80F87" w:rsidRDefault="00F80F87" w:rsidP="00F80F87">
                          <w:pPr>
                            <w:jc w:val="right"/>
                          </w:pPr>
                          <w:r>
                            <w:t>16</w:t>
                          </w:r>
                        </w:p>
                        <w:p w14:paraId="09380DB4" w14:textId="77777777" w:rsidR="00F80F87" w:rsidRDefault="00F80F87" w:rsidP="00F80F87">
                          <w:pPr>
                            <w:jc w:val="right"/>
                          </w:pPr>
                        </w:p>
                        <w:p w14:paraId="46727082" w14:textId="77777777" w:rsidR="00F80F87" w:rsidRDefault="00F80F87" w:rsidP="00F80F87">
                          <w:pPr>
                            <w:jc w:val="right"/>
                          </w:pPr>
                          <w:r>
                            <w:t>17</w:t>
                          </w:r>
                        </w:p>
                        <w:p w14:paraId="2F52F4F5" w14:textId="77777777" w:rsidR="00F80F87" w:rsidRDefault="00F80F87" w:rsidP="00F80F87">
                          <w:pPr>
                            <w:jc w:val="right"/>
                          </w:pPr>
                        </w:p>
                        <w:p w14:paraId="1C8C2AA8" w14:textId="77777777" w:rsidR="00F80F87" w:rsidRDefault="00F80F87" w:rsidP="00F80F87">
                          <w:pPr>
                            <w:jc w:val="right"/>
                          </w:pPr>
                          <w:r>
                            <w:t>18</w:t>
                          </w:r>
                        </w:p>
                        <w:p w14:paraId="484D25BB" w14:textId="77777777" w:rsidR="00F80F87" w:rsidRDefault="00F80F87" w:rsidP="00F80F87">
                          <w:pPr>
                            <w:jc w:val="right"/>
                          </w:pPr>
                        </w:p>
                        <w:p w14:paraId="52AD4156" w14:textId="77777777" w:rsidR="00F80F87" w:rsidRDefault="00F80F87" w:rsidP="00F80F87">
                          <w:pPr>
                            <w:jc w:val="right"/>
                          </w:pPr>
                          <w:r>
                            <w:t>19</w:t>
                          </w:r>
                        </w:p>
                        <w:p w14:paraId="5BB0683E" w14:textId="77777777" w:rsidR="00F80F87" w:rsidRDefault="00F80F87" w:rsidP="00F80F87">
                          <w:pPr>
                            <w:jc w:val="right"/>
                          </w:pPr>
                        </w:p>
                        <w:p w14:paraId="199BF0DC" w14:textId="77777777" w:rsidR="00F80F87" w:rsidRDefault="00F80F87" w:rsidP="00F80F87">
                          <w:pPr>
                            <w:jc w:val="right"/>
                          </w:pPr>
                          <w:r>
                            <w:t>20</w:t>
                          </w:r>
                        </w:p>
                        <w:p w14:paraId="0E73F5B3" w14:textId="77777777" w:rsidR="00F80F87" w:rsidRDefault="00F80F87" w:rsidP="00F80F87">
                          <w:pPr>
                            <w:jc w:val="right"/>
                          </w:pPr>
                        </w:p>
                        <w:p w14:paraId="11A59C56" w14:textId="77777777" w:rsidR="00F80F87" w:rsidRDefault="00F80F87" w:rsidP="00F80F87">
                          <w:pPr>
                            <w:jc w:val="right"/>
                          </w:pPr>
                          <w:r>
                            <w:t>21</w:t>
                          </w:r>
                        </w:p>
                        <w:p w14:paraId="196B4D96" w14:textId="77777777" w:rsidR="00F80F87" w:rsidRDefault="00F80F87" w:rsidP="00F80F87">
                          <w:pPr>
                            <w:jc w:val="right"/>
                          </w:pPr>
                        </w:p>
                        <w:p w14:paraId="448C2BC3" w14:textId="77777777" w:rsidR="00F80F87" w:rsidRDefault="00F80F87" w:rsidP="00F80F87">
                          <w:pPr>
                            <w:jc w:val="right"/>
                          </w:pPr>
                          <w:r>
                            <w:t>22</w:t>
                          </w:r>
                        </w:p>
                        <w:p w14:paraId="5077C17D" w14:textId="77777777" w:rsidR="00F80F87" w:rsidRDefault="00F80F87" w:rsidP="00F80F87">
                          <w:pPr>
                            <w:jc w:val="right"/>
                          </w:pPr>
                        </w:p>
                        <w:p w14:paraId="1D46B699" w14:textId="77777777" w:rsidR="00F80F87" w:rsidRDefault="00F80F87" w:rsidP="00F80F87">
                          <w:pPr>
                            <w:jc w:val="right"/>
                          </w:pPr>
                          <w:r>
                            <w:t>23</w:t>
                          </w:r>
                        </w:p>
                        <w:p w14:paraId="3CD7CB6C" w14:textId="77777777" w:rsidR="00F80F87" w:rsidRDefault="00F80F87" w:rsidP="00F80F87">
                          <w:pPr>
                            <w:jc w:val="right"/>
                          </w:pPr>
                        </w:p>
                        <w:p w14:paraId="3DA3BEC8" w14:textId="77777777" w:rsidR="00F80F87" w:rsidRDefault="00F80F87" w:rsidP="00F80F87">
                          <w:pPr>
                            <w:jc w:val="right"/>
                          </w:pPr>
                          <w:r>
                            <w:t>24</w:t>
                          </w:r>
                        </w:p>
                        <w:p w14:paraId="4DDAE29C" w14:textId="77777777" w:rsidR="00F80F87" w:rsidRDefault="00F80F87" w:rsidP="00F80F87">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89E5D71" id="_x0000_t202" coordsize="21600,21600" o:spt="202" path="m,l,21600r21600,l21600,xe">
              <v:stroke joinstyle="miter"/>
              <v:path gradientshapeok="t" o:connecttype="rect"/>
            </v:shapetype>
            <v:shape id="LineNumbers" o:spid="_x0000_s1026" type="#_x0000_t202" style="position:absolute;margin-left:21.6pt;margin-top:71.3pt;width:36pt;height:9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5f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" stroked="f">
              <v:textbox inset="0,0,0,0">
                <w:txbxContent>
                  <w:p w:rsidR="00F80F87" w:rsidRDefault="00F80F87" w:rsidP="00F80F87">
                    <w:pPr>
                      <w:jc w:val="right"/>
                    </w:pPr>
                    <w:r>
                      <w:t>1</w:t>
                    </w:r>
                  </w:p>
                  <w:p w:rsidR="00F80F87" w:rsidRDefault="00F80F87" w:rsidP="00F80F87">
                    <w:pPr>
                      <w:jc w:val="right"/>
                    </w:pPr>
                  </w:p>
                  <w:p w:rsidR="00F80F87" w:rsidRDefault="00F80F87" w:rsidP="00F80F87">
                    <w:pPr>
                      <w:jc w:val="right"/>
                    </w:pPr>
                    <w:r>
                      <w:t>2</w:t>
                    </w:r>
                  </w:p>
                  <w:p w:rsidR="00F80F87" w:rsidRDefault="00F80F87" w:rsidP="00F80F87">
                    <w:pPr>
                      <w:jc w:val="right"/>
                    </w:pPr>
                  </w:p>
                  <w:p w:rsidR="00F80F87" w:rsidRDefault="00F80F87" w:rsidP="00F80F87">
                    <w:pPr>
                      <w:jc w:val="right"/>
                    </w:pPr>
                    <w:r>
                      <w:t>3</w:t>
                    </w:r>
                  </w:p>
                  <w:p w:rsidR="00F80F87" w:rsidRDefault="00F80F87" w:rsidP="00F80F87">
                    <w:pPr>
                      <w:jc w:val="right"/>
                    </w:pPr>
                  </w:p>
                  <w:p w:rsidR="00F80F87" w:rsidRDefault="00F80F87" w:rsidP="00F80F87">
                    <w:pPr>
                      <w:jc w:val="right"/>
                    </w:pPr>
                    <w:r>
                      <w:t>4</w:t>
                    </w:r>
                  </w:p>
                  <w:p w:rsidR="00F80F87" w:rsidRDefault="00F80F87" w:rsidP="00F80F87">
                    <w:pPr>
                      <w:jc w:val="right"/>
                    </w:pPr>
                  </w:p>
                  <w:p w:rsidR="00F80F87" w:rsidRDefault="00F80F87" w:rsidP="00F80F87">
                    <w:pPr>
                      <w:jc w:val="right"/>
                    </w:pPr>
                    <w:r>
                      <w:t>5</w:t>
                    </w:r>
                  </w:p>
                  <w:p w:rsidR="00F80F87" w:rsidRDefault="00F80F87" w:rsidP="00F80F87">
                    <w:pPr>
                      <w:jc w:val="right"/>
                    </w:pPr>
                  </w:p>
                  <w:p w:rsidR="00F80F87" w:rsidRDefault="00F80F87" w:rsidP="00F80F87">
                    <w:pPr>
                      <w:jc w:val="right"/>
                    </w:pPr>
                    <w:r>
                      <w:t>6</w:t>
                    </w:r>
                  </w:p>
                  <w:p w:rsidR="00F80F87" w:rsidRDefault="00F80F87" w:rsidP="00F80F87">
                    <w:pPr>
                      <w:jc w:val="right"/>
                    </w:pPr>
                  </w:p>
                  <w:p w:rsidR="00F80F87" w:rsidRDefault="00F80F87" w:rsidP="00F80F87">
                    <w:pPr>
                      <w:jc w:val="right"/>
                    </w:pPr>
                    <w:r>
                      <w:t>7</w:t>
                    </w:r>
                  </w:p>
                  <w:p w:rsidR="00F80F87" w:rsidRDefault="00F80F87" w:rsidP="00F80F87">
                    <w:pPr>
                      <w:jc w:val="right"/>
                    </w:pPr>
                  </w:p>
                  <w:p w:rsidR="00F80F87" w:rsidRDefault="00F80F87" w:rsidP="00F80F87">
                    <w:pPr>
                      <w:jc w:val="right"/>
                    </w:pPr>
                    <w:r>
                      <w:t>8</w:t>
                    </w:r>
                  </w:p>
                  <w:p w:rsidR="00F80F87" w:rsidRDefault="00F80F87" w:rsidP="00F80F87">
                    <w:pPr>
                      <w:jc w:val="right"/>
                    </w:pPr>
                  </w:p>
                  <w:p w:rsidR="00F80F87" w:rsidRDefault="00F80F87" w:rsidP="00F80F87">
                    <w:pPr>
                      <w:jc w:val="right"/>
                    </w:pPr>
                    <w:r>
                      <w:t>9</w:t>
                    </w:r>
                  </w:p>
                  <w:p w:rsidR="00F80F87" w:rsidRDefault="00F80F87" w:rsidP="00F80F87">
                    <w:pPr>
                      <w:jc w:val="right"/>
                    </w:pPr>
                  </w:p>
                  <w:p w:rsidR="00F80F87" w:rsidRDefault="00F80F87" w:rsidP="00F80F87">
                    <w:pPr>
                      <w:jc w:val="right"/>
                    </w:pPr>
                    <w:r>
                      <w:t>10</w:t>
                    </w:r>
                  </w:p>
                  <w:p w:rsidR="00F80F87" w:rsidRDefault="00F80F87" w:rsidP="00F80F87">
                    <w:pPr>
                      <w:jc w:val="right"/>
                    </w:pPr>
                  </w:p>
                  <w:p w:rsidR="00F80F87" w:rsidRDefault="00F80F87" w:rsidP="00F80F87">
                    <w:pPr>
                      <w:jc w:val="right"/>
                    </w:pPr>
                    <w:r>
                      <w:t>11</w:t>
                    </w:r>
                  </w:p>
                  <w:p w:rsidR="00F80F87" w:rsidRDefault="00F80F87" w:rsidP="00F80F87">
                    <w:pPr>
                      <w:jc w:val="right"/>
                    </w:pPr>
                  </w:p>
                  <w:p w:rsidR="00F80F87" w:rsidRDefault="00F80F87" w:rsidP="00F80F87">
                    <w:pPr>
                      <w:jc w:val="right"/>
                    </w:pPr>
                    <w:r>
                      <w:t>12</w:t>
                    </w:r>
                  </w:p>
                  <w:p w:rsidR="00F80F87" w:rsidRDefault="00F80F87" w:rsidP="00F80F87">
                    <w:pPr>
                      <w:jc w:val="right"/>
                    </w:pPr>
                  </w:p>
                  <w:p w:rsidR="00F80F87" w:rsidRDefault="00F80F87" w:rsidP="00F80F87">
                    <w:pPr>
                      <w:jc w:val="right"/>
                    </w:pPr>
                    <w:r>
                      <w:t>13</w:t>
                    </w:r>
                  </w:p>
                  <w:p w:rsidR="00F80F87" w:rsidRDefault="00F80F87" w:rsidP="00F80F87">
                    <w:pPr>
                      <w:jc w:val="right"/>
                    </w:pPr>
                  </w:p>
                  <w:p w:rsidR="00F80F87" w:rsidRDefault="00F80F87" w:rsidP="00F80F87">
                    <w:pPr>
                      <w:jc w:val="right"/>
                    </w:pPr>
                    <w:r>
                      <w:t>14</w:t>
                    </w:r>
                  </w:p>
                  <w:p w:rsidR="00F80F87" w:rsidRDefault="00F80F87" w:rsidP="00F80F87">
                    <w:pPr>
                      <w:jc w:val="right"/>
                    </w:pPr>
                  </w:p>
                  <w:p w:rsidR="00F80F87" w:rsidRDefault="00F80F87" w:rsidP="00F80F87">
                    <w:pPr>
                      <w:jc w:val="right"/>
                    </w:pPr>
                    <w:r>
                      <w:t>15</w:t>
                    </w:r>
                  </w:p>
                  <w:p w:rsidR="00F80F87" w:rsidRDefault="00F80F87" w:rsidP="00F80F87">
                    <w:pPr>
                      <w:jc w:val="right"/>
                    </w:pPr>
                  </w:p>
                  <w:p w:rsidR="00F80F87" w:rsidRDefault="00F80F87" w:rsidP="00F80F87">
                    <w:pPr>
                      <w:jc w:val="right"/>
                    </w:pPr>
                    <w:r>
                      <w:t>16</w:t>
                    </w:r>
                  </w:p>
                  <w:p w:rsidR="00F80F87" w:rsidRDefault="00F80F87" w:rsidP="00F80F87">
                    <w:pPr>
                      <w:jc w:val="right"/>
                    </w:pPr>
                  </w:p>
                  <w:p w:rsidR="00F80F87" w:rsidRDefault="00F80F87" w:rsidP="00F80F87">
                    <w:pPr>
                      <w:jc w:val="right"/>
                    </w:pPr>
                    <w:r>
                      <w:t>17</w:t>
                    </w:r>
                  </w:p>
                  <w:p w:rsidR="00F80F87" w:rsidRDefault="00F80F87" w:rsidP="00F80F87">
                    <w:pPr>
                      <w:jc w:val="right"/>
                    </w:pPr>
                  </w:p>
                  <w:p w:rsidR="00F80F87" w:rsidRDefault="00F80F87" w:rsidP="00F80F87">
                    <w:pPr>
                      <w:jc w:val="right"/>
                    </w:pPr>
                    <w:r>
                      <w:t>18</w:t>
                    </w:r>
                  </w:p>
                  <w:p w:rsidR="00F80F87" w:rsidRDefault="00F80F87" w:rsidP="00F80F87">
                    <w:pPr>
                      <w:jc w:val="right"/>
                    </w:pPr>
                  </w:p>
                  <w:p w:rsidR="00F80F87" w:rsidRDefault="00F80F87" w:rsidP="00F80F87">
                    <w:pPr>
                      <w:jc w:val="right"/>
                    </w:pPr>
                    <w:r>
                      <w:t>19</w:t>
                    </w:r>
                  </w:p>
                  <w:p w:rsidR="00F80F87" w:rsidRDefault="00F80F87" w:rsidP="00F80F87">
                    <w:pPr>
                      <w:jc w:val="right"/>
                    </w:pPr>
                  </w:p>
                  <w:p w:rsidR="00F80F87" w:rsidRDefault="00F80F87" w:rsidP="00F80F87">
                    <w:pPr>
                      <w:jc w:val="right"/>
                    </w:pPr>
                    <w:r>
                      <w:t>20</w:t>
                    </w:r>
                  </w:p>
                  <w:p w:rsidR="00F80F87" w:rsidRDefault="00F80F87" w:rsidP="00F80F87">
                    <w:pPr>
                      <w:jc w:val="right"/>
                    </w:pPr>
                  </w:p>
                  <w:p w:rsidR="00F80F87" w:rsidRDefault="00F80F87" w:rsidP="00F80F87">
                    <w:pPr>
                      <w:jc w:val="right"/>
                    </w:pPr>
                    <w:r>
                      <w:t>21</w:t>
                    </w:r>
                  </w:p>
                  <w:p w:rsidR="00F80F87" w:rsidRDefault="00F80F87" w:rsidP="00F80F87">
                    <w:pPr>
                      <w:jc w:val="right"/>
                    </w:pPr>
                  </w:p>
                  <w:p w:rsidR="00F80F87" w:rsidRDefault="00F80F87" w:rsidP="00F80F87">
                    <w:pPr>
                      <w:jc w:val="right"/>
                    </w:pPr>
                    <w:r>
                      <w:t>22</w:t>
                    </w:r>
                  </w:p>
                  <w:p w:rsidR="00F80F87" w:rsidRDefault="00F80F87" w:rsidP="00F80F87">
                    <w:pPr>
                      <w:jc w:val="right"/>
                    </w:pPr>
                  </w:p>
                  <w:p w:rsidR="00F80F87" w:rsidRDefault="00F80F87" w:rsidP="00F80F87">
                    <w:pPr>
                      <w:jc w:val="right"/>
                    </w:pPr>
                    <w:r>
                      <w:t>23</w:t>
                    </w:r>
                  </w:p>
                  <w:p w:rsidR="00F80F87" w:rsidRDefault="00F80F87" w:rsidP="00F80F87">
                    <w:pPr>
                      <w:jc w:val="right"/>
                    </w:pPr>
                  </w:p>
                  <w:p w:rsidR="00F80F87" w:rsidRDefault="00F80F87" w:rsidP="00F80F87">
                    <w:pPr>
                      <w:jc w:val="right"/>
                    </w:pPr>
                    <w:r>
                      <w:t>24</w:t>
                    </w:r>
                  </w:p>
                  <w:p w:rsidR="00F80F87" w:rsidRDefault="00F80F87" w:rsidP="00F80F87">
                    <w:pPr>
                      <w:jc w:val="right"/>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25F46FF3" wp14:editId="2D777B78">
              <wp:simplePos x="0" y="0"/>
              <wp:positionH relativeFrom="margin">
                <wp:posOffset>-91440</wp:posOffset>
              </wp:positionH>
              <wp:positionV relativeFrom="page">
                <wp:posOffset>228600</wp:posOffset>
              </wp:positionV>
              <wp:extent cx="8890" cy="955548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4D2BA" id="Rectangle 7" o:spid="_x0000_s1026" style="position:absolute;margin-left:-7.2pt;margin-top:18pt;width:.7pt;height:75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60288" behindDoc="1" locked="0" layoutInCell="0" allowOverlap="1" wp14:anchorId="5BC87B4A" wp14:editId="352EB7C6">
              <wp:simplePos x="0" y="0"/>
              <wp:positionH relativeFrom="margin">
                <wp:posOffset>-118745</wp:posOffset>
              </wp:positionH>
              <wp:positionV relativeFrom="page">
                <wp:posOffset>228600</wp:posOffset>
              </wp:positionV>
              <wp:extent cx="8890" cy="955548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16074" id="Rectangle 6" o:spid="_x0000_s1026" style="position:absolute;margin-left:-9.35pt;margin-top:18pt;width:.7pt;height:752.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9264" behindDoc="1" locked="0" layoutInCell="0" allowOverlap="1" wp14:anchorId="5C4D045D" wp14:editId="11AD5109">
              <wp:simplePos x="0" y="0"/>
              <wp:positionH relativeFrom="margin">
                <wp:posOffset>6249670</wp:posOffset>
              </wp:positionH>
              <wp:positionV relativeFrom="page">
                <wp:posOffset>228600</wp:posOffset>
              </wp:positionV>
              <wp:extent cx="4445" cy="955548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955548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572D5" id="Rectangle 5" o:spid="_x0000_s1026" style="position:absolute;margin-left:492.1pt;margin-top:18pt;width:.35pt;height:75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" o:allowincell="f" fillcolor="black" stroked="f" strokeweight=".1pt">
              <w10:wrap anchorx="margin" anchory="page"/>
            </v:rect>
          </w:pict>
        </mc:Fallback>
      </mc:AlternateContent>
    </w:r>
  </w:p>
  <w:p w14:paraId="551377F3" w14:textId="77777777" w:rsidR="00F80F87" w:rsidRDefault="00F80F87" w:rsidP="00F80F87">
    <w:pPr>
      <w:tabs>
        <w:tab w:val="left" w:pos="-720"/>
      </w:tabs>
      <w:suppressAutoHyphens/>
      <w:spacing w:line="480" w:lineRule="auto"/>
      <w:ind w:hanging="504"/>
    </w:pPr>
    <w:r>
      <w:rPr>
        <w:noProof/>
      </w:rPr>
      <mc:AlternateContent>
        <mc:Choice Requires="wps">
          <w:drawing>
            <wp:anchor distT="0" distB="0" distL="114300" distR="114300" simplePos="0" relativeHeight="251663360" behindDoc="0" locked="0" layoutInCell="1" allowOverlap="1" wp14:anchorId="410A734D" wp14:editId="48F6312E">
              <wp:simplePos x="0" y="0"/>
              <wp:positionH relativeFrom="page">
                <wp:posOffset>4737735</wp:posOffset>
              </wp:positionH>
              <wp:positionV relativeFrom="page">
                <wp:posOffset>9146540</wp:posOffset>
              </wp:positionV>
              <wp:extent cx="2354580" cy="683895"/>
              <wp:effectExtent l="0" t="0" r="0" b="0"/>
              <wp:wrapNone/>
              <wp:docPr id="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122D4" w14:textId="77777777" w:rsidR="00F80F87" w:rsidRDefault="00F80F87" w:rsidP="00F80F87">
                          <w:pPr>
                            <w:tabs>
                              <w:tab w:val="left" w:pos="6480"/>
                            </w:tabs>
                            <w:suppressAutoHyphens/>
                            <w:rPr>
                              <w:sz w:val="20"/>
                            </w:rPr>
                          </w:pPr>
                          <w:r>
                            <w:rPr>
                              <w:b/>
                              <w:sz w:val="20"/>
                            </w:rPr>
                            <w:t>Daniel T. Satterberg</w:t>
                          </w:r>
                          <w:r>
                            <w:rPr>
                              <w:sz w:val="20"/>
                            </w:rPr>
                            <w:t>, Prosecuting Attorney</w:t>
                          </w:r>
                        </w:p>
                        <w:p w14:paraId="7681F973" w14:textId="77777777" w:rsidR="00F80F87" w:rsidRDefault="00F80F87" w:rsidP="00F80F87">
                          <w:pPr>
                            <w:tabs>
                              <w:tab w:val="left" w:pos="6480"/>
                              <w:tab w:val="center" w:pos="9450"/>
                            </w:tabs>
                            <w:suppressAutoHyphens/>
                            <w:rPr>
                              <w:sz w:val="16"/>
                            </w:rPr>
                          </w:pPr>
                          <w:r>
                            <w:rPr>
                              <w:sz w:val="16"/>
                            </w:rPr>
                            <w:t>W554 King County Courthouse</w:t>
                          </w:r>
                        </w:p>
                        <w:p w14:paraId="734BBA31" w14:textId="77777777" w:rsidR="00F80F87" w:rsidRDefault="00F80F87" w:rsidP="00F80F87">
                          <w:pPr>
                            <w:tabs>
                              <w:tab w:val="left" w:pos="6480"/>
                              <w:tab w:val="center" w:pos="9450"/>
                            </w:tabs>
                            <w:suppressAutoHyphens/>
                            <w:rPr>
                              <w:sz w:val="16"/>
                            </w:rPr>
                          </w:pPr>
                          <w:r>
                            <w:rPr>
                              <w:sz w:val="16"/>
                            </w:rPr>
                            <w:t xml:space="preserve">516 Third Avenue </w:t>
                          </w:r>
                        </w:p>
                        <w:p w14:paraId="3B32EF19" w14:textId="77777777" w:rsidR="00F80F87" w:rsidRDefault="00F80F87" w:rsidP="00F80F87">
                          <w:pPr>
                            <w:tabs>
                              <w:tab w:val="left" w:pos="6480"/>
                              <w:tab w:val="center" w:pos="9450"/>
                            </w:tabs>
                            <w:suppressAutoHyphens/>
                            <w:rPr>
                              <w:sz w:val="16"/>
                            </w:rPr>
                          </w:pPr>
                          <w:r>
                            <w:rPr>
                              <w:sz w:val="16"/>
                            </w:rPr>
                            <w:t>Seattle, Washington 98104</w:t>
                          </w:r>
                        </w:p>
                        <w:p w14:paraId="2C0B7151" w14:textId="77777777" w:rsidR="00F80F87" w:rsidRDefault="00F80F87" w:rsidP="00F80F87">
                          <w:pPr>
                            <w:tabs>
                              <w:tab w:val="left" w:pos="6480"/>
                              <w:tab w:val="center" w:pos="9450"/>
                            </w:tabs>
                            <w:suppressAutoHyphens/>
                          </w:pPr>
                          <w:r>
                            <w:rPr>
                              <w:sz w:val="16"/>
                            </w:rPr>
                            <w:t>(206) 296-9000, FAX (206) 296-0955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DD98881" id="_x0000_s1027" type="#_x0000_t202" style="position:absolute;margin-left:373.05pt;margin-top:720.2pt;width:185.4pt;height:53.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" stroked="f">
              <v:textbox inset="0,0,0,0">
                <w:txbxContent>
                  <w:p w:rsidR="00F80F87" w:rsidRDefault="00F80F87" w:rsidP="00F80F87">
                    <w:pPr>
                      <w:tabs>
                        <w:tab w:val="left" w:pos="6480"/>
                      </w:tabs>
                      <w:suppressAutoHyphens/>
                      <w:rPr>
                        <w:sz w:val="20"/>
                      </w:rPr>
                    </w:pPr>
                    <w:r>
                      <w:rPr>
                        <w:b/>
                        <w:sz w:val="20"/>
                      </w:rPr>
                      <w:t>Daniel T. Satterberg</w:t>
                    </w:r>
                    <w:r>
                      <w:rPr>
                        <w:sz w:val="20"/>
                      </w:rPr>
                      <w:t>, Prosecuting Attorney</w:t>
                    </w:r>
                  </w:p>
                  <w:p w:rsidR="00F80F87" w:rsidRDefault="00F80F87" w:rsidP="00F80F87">
                    <w:pPr>
                      <w:tabs>
                        <w:tab w:val="left" w:pos="6480"/>
                        <w:tab w:val="center" w:pos="9450"/>
                      </w:tabs>
                      <w:suppressAutoHyphens/>
                      <w:rPr>
                        <w:sz w:val="16"/>
                      </w:rPr>
                    </w:pPr>
                    <w:r>
                      <w:rPr>
                        <w:sz w:val="16"/>
                      </w:rPr>
                      <w:t>W554 King County Courthouse</w:t>
                    </w:r>
                  </w:p>
                  <w:p w:rsidR="00F80F87" w:rsidRDefault="00F80F87" w:rsidP="00F80F87">
                    <w:pPr>
                      <w:tabs>
                        <w:tab w:val="left" w:pos="6480"/>
                        <w:tab w:val="center" w:pos="9450"/>
                      </w:tabs>
                      <w:suppressAutoHyphens/>
                      <w:rPr>
                        <w:sz w:val="16"/>
                      </w:rPr>
                    </w:pPr>
                    <w:r>
                      <w:rPr>
                        <w:sz w:val="16"/>
                      </w:rPr>
                      <w:t xml:space="preserve">516 Third Avenue </w:t>
                    </w:r>
                  </w:p>
                  <w:p w:rsidR="00F80F87" w:rsidRDefault="00F80F87" w:rsidP="00F80F87">
                    <w:pPr>
                      <w:tabs>
                        <w:tab w:val="left" w:pos="6480"/>
                        <w:tab w:val="center" w:pos="9450"/>
                      </w:tabs>
                      <w:suppressAutoHyphens/>
                      <w:rPr>
                        <w:sz w:val="16"/>
                      </w:rPr>
                    </w:pPr>
                    <w:r>
                      <w:rPr>
                        <w:sz w:val="16"/>
                      </w:rPr>
                      <w:t>Seattle, Washington 98104</w:t>
                    </w:r>
                  </w:p>
                  <w:p w:rsidR="00F80F87" w:rsidRDefault="00F80F87" w:rsidP="00F80F87">
                    <w:pPr>
                      <w:tabs>
                        <w:tab w:val="left" w:pos="6480"/>
                        <w:tab w:val="center" w:pos="9450"/>
                      </w:tabs>
                      <w:suppressAutoHyphens/>
                    </w:pPr>
                    <w:r>
                      <w:rPr>
                        <w:sz w:val="16"/>
                      </w:rPr>
                      <w:t>(206) 296-9000, FAX (206) 296-0955</w:t>
                    </w:r>
                  </w:p>
                </w:txbxContent>
              </v:textbox>
              <w10:wrap anchorx="page" anchory="page"/>
            </v:shape>
          </w:pict>
        </mc:Fallback>
      </mc:AlternateContent>
    </w:r>
  </w:p>
  <w:p w14:paraId="66ED86D5" w14:textId="77777777" w:rsidR="00F80F87" w:rsidRDefault="00F80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A06"/>
    <w:multiLevelType w:val="multilevel"/>
    <w:tmpl w:val="929E2CF2"/>
    <w:lvl w:ilvl="0">
      <w:start w:val="1"/>
      <w:numFmt w:val="upperLetter"/>
      <w:pStyle w:val="Heading1"/>
      <w:lvlText w:val="%1."/>
      <w:lvlJc w:val="left"/>
      <w:pPr>
        <w:tabs>
          <w:tab w:val="num" w:pos="720"/>
        </w:tabs>
        <w:ind w:left="720" w:hanging="720"/>
      </w:pPr>
      <w:rPr>
        <w:rFonts w:ascii="Times New Roman" w:hAnsi="Times New Roman" w:hint="default"/>
        <w:b/>
        <w:i w:val="0"/>
        <w:sz w:val="24"/>
        <w:u w:val="none"/>
      </w:rPr>
    </w:lvl>
    <w:lvl w:ilvl="1">
      <w:start w:val="1"/>
      <w:numFmt w:val="decimal"/>
      <w:pStyle w:val="Heading2"/>
      <w:lvlText w:val="%2."/>
      <w:lvlJc w:val="left"/>
      <w:pPr>
        <w:tabs>
          <w:tab w:val="num" w:pos="1440"/>
        </w:tabs>
        <w:ind w:left="1440" w:hanging="720"/>
      </w:pPr>
      <w:rPr>
        <w:rFonts w:ascii="Times New Roman" w:hAnsi="Times New Roman" w:hint="default"/>
        <w:b/>
        <w:i w:val="0"/>
        <w:sz w:val="24"/>
        <w:u w:val="none"/>
      </w:r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 w15:restartNumberingAfterBreak="0">
    <w:nsid w:val="1B88692D"/>
    <w:multiLevelType w:val="hybridMultilevel"/>
    <w:tmpl w:val="0DB651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EC5FFA"/>
    <w:multiLevelType w:val="multilevel"/>
    <w:tmpl w:val="CCBCD7CC"/>
    <w:lvl w:ilvl="0">
      <w:start w:val="1"/>
      <w:numFmt w:val="upperLetter"/>
      <w:lvlText w:val="%1."/>
      <w:lvlJc w:val="left"/>
      <w:pPr>
        <w:tabs>
          <w:tab w:val="num" w:pos="360"/>
        </w:tabs>
        <w:ind w:left="360" w:hanging="360"/>
      </w:pPr>
      <w:rPr>
        <w:rFonts w:ascii="Times New Roman" w:hAnsi="Times New Roman" w:hint="default"/>
        <w:b/>
        <w:i w:val="0"/>
        <w:sz w:val="24"/>
        <w:u w:val="none"/>
      </w:rPr>
    </w:lvl>
    <w:lvl w:ilvl="1">
      <w:start w:val="1"/>
      <w:numFmt w:val="decimal"/>
      <w:lvlText w:val="%2."/>
      <w:lvlJc w:val="left"/>
      <w:pPr>
        <w:tabs>
          <w:tab w:val="num" w:pos="720"/>
        </w:tabs>
        <w:ind w:left="720" w:hanging="360"/>
      </w:pPr>
      <w:rPr>
        <w:rFonts w:ascii="Times New Roman" w:hAnsi="Times New Roman" w:hint="default"/>
        <w:b/>
        <w:i w:val="0"/>
        <w:sz w:val="24"/>
        <w:u w:val="none"/>
      </w:rPr>
    </w:lvl>
    <w:lvl w:ilvl="2">
      <w:start w:val="1"/>
      <w:numFmt w:val="lowerLetter"/>
      <w:pStyle w:val="Heading3"/>
      <w:lvlText w:val="%3."/>
      <w:lvlJc w:val="left"/>
      <w:pPr>
        <w:tabs>
          <w:tab w:val="num" w:pos="2160"/>
        </w:tabs>
        <w:ind w:left="2160" w:hanging="720"/>
      </w:pPr>
    </w:lvl>
    <w:lvl w:ilvl="3">
      <w:start w:val="1"/>
      <w:numFmt w:val="lowerRoman"/>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040"/>
        </w:tabs>
        <w:ind w:left="5040" w:hanging="720"/>
      </w:pPr>
    </w:lvl>
    <w:lvl w:ilvl="8">
      <w:start w:val="1"/>
      <w:numFmt w:val="lowerRoman"/>
      <w:lvlText w:val="(%9)"/>
      <w:lvlJc w:val="left"/>
      <w:pPr>
        <w:tabs>
          <w:tab w:val="num" w:pos="5040"/>
        </w:tabs>
        <w:ind w:left="5040" w:hanging="720"/>
      </w:pPr>
    </w:lvl>
  </w:abstractNum>
  <w:abstractNum w:abstractNumId="3" w15:restartNumberingAfterBreak="0">
    <w:nsid w:val="41341761"/>
    <w:multiLevelType w:val="hybridMultilevel"/>
    <w:tmpl w:val="987EAB44"/>
    <w:lvl w:ilvl="0" w:tplc="3E28D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394FC8"/>
    <w:multiLevelType w:val="hybridMultilevel"/>
    <w:tmpl w:val="ABE2793A"/>
    <w:lvl w:ilvl="0" w:tplc="502E8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A3140"/>
    <w:multiLevelType w:val="multilevel"/>
    <w:tmpl w:val="3DD0D5DA"/>
    <w:lvl w:ilvl="0">
      <w:start w:val="1"/>
      <w:numFmt w:val="upperLetter"/>
      <w:lvlText w:val="%1."/>
      <w:lvlJc w:val="left"/>
      <w:pPr>
        <w:tabs>
          <w:tab w:val="num" w:pos="360"/>
        </w:tabs>
        <w:ind w:left="360" w:hanging="360"/>
      </w:pPr>
      <w:rPr>
        <w:rFonts w:ascii="Times New Roman" w:hAnsi="Times New Roman" w:hint="default"/>
        <w:b/>
        <w:i w:val="0"/>
        <w:sz w:val="24"/>
        <w:u w:val="none"/>
      </w:rPr>
    </w:lvl>
    <w:lvl w:ilvl="1">
      <w:start w:val="1"/>
      <w:numFmt w:val="decimal"/>
      <w:lvlText w:val="%2."/>
      <w:lvlJc w:val="left"/>
      <w:pPr>
        <w:tabs>
          <w:tab w:val="num" w:pos="720"/>
        </w:tabs>
        <w:ind w:left="720" w:hanging="360"/>
      </w:pPr>
      <w:rPr>
        <w:rFonts w:ascii="Times New Roman" w:hAnsi="Times New Roman" w:hint="default"/>
        <w:b/>
        <w:i w:val="0"/>
        <w:sz w:val="24"/>
        <w:u w:val="none"/>
      </w:r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040"/>
        </w:tabs>
        <w:ind w:left="5040" w:hanging="720"/>
      </w:pPr>
    </w:lvl>
    <w:lvl w:ilvl="8">
      <w:start w:val="1"/>
      <w:numFmt w:val="lowerRoman"/>
      <w:lvlText w:val="(%9)"/>
      <w:lvlJc w:val="left"/>
      <w:pPr>
        <w:tabs>
          <w:tab w:val="num" w:pos="5040"/>
        </w:tabs>
        <w:ind w:left="5040" w:hanging="720"/>
      </w:pPr>
    </w:lvl>
  </w:abstractNum>
  <w:abstractNum w:abstractNumId="6" w15:restartNumberingAfterBreak="0">
    <w:nsid w:val="5F5D3C20"/>
    <w:multiLevelType w:val="hybridMultilevel"/>
    <w:tmpl w:val="5FC0B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idden" w:val="False"/>
    <w:docVar w:name="SkipMsg" w:val="True"/>
    <w:docVar w:name="SmartPaste" w:val="False"/>
    <w:docVar w:name="Temp" w:val="Motion to Intervene"/>
  </w:docVars>
  <w:rsids>
    <w:rsidRoot w:val="00F80F87"/>
    <w:rsid w:val="000067B7"/>
    <w:rsid w:val="000459FA"/>
    <w:rsid w:val="00045BD0"/>
    <w:rsid w:val="001940EC"/>
    <w:rsid w:val="00236A73"/>
    <w:rsid w:val="002F01AB"/>
    <w:rsid w:val="00333A16"/>
    <w:rsid w:val="00413D8D"/>
    <w:rsid w:val="00476ACF"/>
    <w:rsid w:val="00587B8E"/>
    <w:rsid w:val="006720E9"/>
    <w:rsid w:val="006A00E7"/>
    <w:rsid w:val="006A6454"/>
    <w:rsid w:val="006F160D"/>
    <w:rsid w:val="007F71E0"/>
    <w:rsid w:val="00806E07"/>
    <w:rsid w:val="00873D15"/>
    <w:rsid w:val="0099667B"/>
    <w:rsid w:val="009A187E"/>
    <w:rsid w:val="00A978AC"/>
    <w:rsid w:val="00B61BAB"/>
    <w:rsid w:val="00BA7CFA"/>
    <w:rsid w:val="00BB155F"/>
    <w:rsid w:val="00BD5B06"/>
    <w:rsid w:val="00BF5F23"/>
    <w:rsid w:val="00C0535F"/>
    <w:rsid w:val="00C57F53"/>
    <w:rsid w:val="00C70B7A"/>
    <w:rsid w:val="00C83840"/>
    <w:rsid w:val="00C86146"/>
    <w:rsid w:val="00C911FB"/>
    <w:rsid w:val="00CD2978"/>
    <w:rsid w:val="00EA67FD"/>
    <w:rsid w:val="00EB5886"/>
    <w:rsid w:val="00F6402F"/>
    <w:rsid w:val="00F80F87"/>
    <w:rsid w:val="00FE2C0E"/>
    <w:rsid w:val="00FE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FF0F1"/>
  <w15:docId w15:val="{55E0E494-D00E-4896-9636-67EFD655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3"/>
      </w:numPr>
      <w:spacing w:after="240"/>
      <w:outlineLvl w:val="0"/>
    </w:pPr>
    <w:rPr>
      <w:b/>
      <w:caps/>
      <w:kern w:val="28"/>
      <w:u w:val="single"/>
    </w:rPr>
  </w:style>
  <w:style w:type="paragraph" w:styleId="Heading2">
    <w:name w:val="heading 2"/>
    <w:basedOn w:val="Normal"/>
    <w:next w:val="Normal"/>
    <w:qFormat/>
    <w:pPr>
      <w:keepNext/>
      <w:numPr>
        <w:ilvl w:val="1"/>
        <w:numId w:val="3"/>
      </w:numPr>
      <w:spacing w:after="240"/>
      <w:outlineLvl w:val="1"/>
    </w:pPr>
    <w:rPr>
      <w:b/>
      <w:caps/>
    </w:rPr>
  </w:style>
  <w:style w:type="paragraph" w:styleId="Heading3">
    <w:name w:val="heading 3"/>
    <w:basedOn w:val="Normal"/>
    <w:next w:val="Normal"/>
    <w:qFormat/>
    <w:pPr>
      <w:keepNext/>
      <w:numPr>
        <w:ilvl w:val="2"/>
        <w:numId w:val="2"/>
      </w:numPr>
      <w:spacing w:after="240"/>
      <w:outlineLvl w:val="2"/>
    </w:pPr>
  </w:style>
  <w:style w:type="paragraph" w:styleId="Heading4">
    <w:name w:val="heading 4"/>
    <w:basedOn w:val="Normal"/>
    <w:next w:val="Normal"/>
    <w:qFormat/>
    <w:pPr>
      <w:keepNext/>
      <w:numPr>
        <w:ilvl w:val="3"/>
        <w:numId w:val="2"/>
      </w:numPr>
      <w:spacing w:after="240"/>
      <w:outlineLvl w:val="3"/>
    </w:pPr>
  </w:style>
  <w:style w:type="paragraph" w:styleId="Heading5">
    <w:name w:val="heading 5"/>
    <w:basedOn w:val="Normal"/>
    <w:next w:val="Normal"/>
    <w:qFormat/>
    <w:pPr>
      <w:numPr>
        <w:ilvl w:val="4"/>
        <w:numId w:val="2"/>
      </w:numPr>
      <w:spacing w:after="240"/>
      <w:outlineLvl w:val="4"/>
    </w:pPr>
  </w:style>
  <w:style w:type="paragraph" w:styleId="Heading6">
    <w:name w:val="heading 6"/>
    <w:basedOn w:val="Normal"/>
    <w:next w:val="Normal"/>
    <w:qFormat/>
    <w:pPr>
      <w:numPr>
        <w:ilvl w:val="5"/>
        <w:numId w:val="2"/>
      </w:num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widowControl w:val="0"/>
      <w:tabs>
        <w:tab w:val="center" w:pos="4320"/>
        <w:tab w:val="right" w:pos="8640"/>
      </w:tabs>
    </w:pPr>
  </w:style>
  <w:style w:type="paragraph" w:styleId="EndnoteText">
    <w:name w:val="endnote text"/>
    <w:basedOn w:val="Normal"/>
    <w:semiHidden/>
    <w:pPr>
      <w:widowControl w:val="0"/>
    </w:pPr>
  </w:style>
  <w:style w:type="paragraph" w:styleId="TOC9">
    <w:name w:val="toc 9"/>
    <w:basedOn w:val="Normal"/>
    <w:next w:val="Normal"/>
    <w:autoRedefine/>
    <w:semiHidden/>
    <w:pPr>
      <w:tabs>
        <w:tab w:val="right" w:leader="dot" w:pos="7200"/>
      </w:tabs>
      <w:suppressAutoHyphens/>
      <w:spacing w:after="240"/>
      <w:ind w:left="2592" w:hanging="288"/>
    </w:pPr>
  </w:style>
  <w:style w:type="character" w:styleId="PageNumber">
    <w:name w:val="page number"/>
    <w:basedOn w:val="DefaultParagraphFont"/>
  </w:style>
  <w:style w:type="paragraph" w:styleId="TOC1">
    <w:name w:val="toc 1"/>
    <w:basedOn w:val="Normal"/>
    <w:next w:val="Normal"/>
    <w:autoRedefine/>
    <w:semiHidden/>
    <w:pPr>
      <w:tabs>
        <w:tab w:val="right" w:leader="dot" w:pos="7200"/>
      </w:tabs>
      <w:spacing w:after="240"/>
      <w:ind w:left="720" w:hanging="720"/>
    </w:pPr>
    <w:rPr>
      <w:caps/>
    </w:rPr>
  </w:style>
  <w:style w:type="paragraph" w:styleId="TOC2">
    <w:name w:val="toc 2"/>
    <w:basedOn w:val="Normal"/>
    <w:next w:val="Normal"/>
    <w:autoRedefine/>
    <w:semiHidden/>
    <w:pPr>
      <w:tabs>
        <w:tab w:val="right" w:leader="dot" w:pos="7200"/>
      </w:tabs>
      <w:suppressAutoHyphens/>
      <w:spacing w:after="240"/>
      <w:ind w:left="1440" w:hanging="720"/>
    </w:pPr>
    <w:rPr>
      <w:caps/>
    </w:rPr>
  </w:style>
  <w:style w:type="paragraph" w:styleId="TOC3">
    <w:name w:val="toc 3"/>
    <w:basedOn w:val="Normal"/>
    <w:next w:val="Normal"/>
    <w:autoRedefine/>
    <w:semiHidden/>
    <w:pPr>
      <w:tabs>
        <w:tab w:val="right" w:leader="dot" w:pos="7200"/>
      </w:tabs>
      <w:suppressAutoHyphens/>
      <w:spacing w:after="240"/>
      <w:ind w:left="2160" w:hanging="720"/>
    </w:pPr>
  </w:style>
  <w:style w:type="paragraph" w:styleId="TOC4">
    <w:name w:val="toc 4"/>
    <w:basedOn w:val="Normal"/>
    <w:next w:val="Normal"/>
    <w:autoRedefine/>
    <w:semiHidden/>
    <w:pPr>
      <w:tabs>
        <w:tab w:val="right" w:leader="dot" w:pos="7200"/>
      </w:tabs>
      <w:suppressAutoHyphens/>
      <w:spacing w:after="240"/>
      <w:ind w:left="2880" w:hanging="720"/>
    </w:pPr>
  </w:style>
  <w:style w:type="paragraph" w:styleId="TOC5">
    <w:name w:val="toc 5"/>
    <w:basedOn w:val="Normal"/>
    <w:next w:val="Normal"/>
    <w:autoRedefine/>
    <w:semiHidden/>
    <w:pPr>
      <w:tabs>
        <w:tab w:val="right" w:leader="dot" w:pos="7200"/>
      </w:tabs>
      <w:suppressAutoHyphens/>
      <w:spacing w:after="240"/>
      <w:ind w:left="3600" w:hanging="720"/>
    </w:pPr>
  </w:style>
  <w:style w:type="paragraph" w:styleId="TOC6">
    <w:name w:val="toc 6"/>
    <w:basedOn w:val="Normal"/>
    <w:next w:val="Normal"/>
    <w:autoRedefine/>
    <w:semiHidden/>
    <w:pPr>
      <w:tabs>
        <w:tab w:val="right" w:leader="dot" w:pos="7200"/>
      </w:tabs>
      <w:suppressAutoHyphens/>
      <w:spacing w:after="240"/>
      <w:ind w:left="4320" w:hanging="720"/>
    </w:pPr>
  </w:style>
  <w:style w:type="paragraph" w:styleId="TOC7">
    <w:name w:val="toc 7"/>
    <w:basedOn w:val="Normal"/>
    <w:next w:val="Normal"/>
    <w:autoRedefine/>
    <w:semiHidden/>
    <w:pPr>
      <w:tabs>
        <w:tab w:val="right" w:leader="dot" w:pos="7200"/>
      </w:tabs>
      <w:suppressAutoHyphens/>
      <w:spacing w:after="240"/>
      <w:ind w:left="2016" w:hanging="288"/>
    </w:pPr>
  </w:style>
  <w:style w:type="paragraph" w:styleId="TOC8">
    <w:name w:val="toc 8"/>
    <w:basedOn w:val="Normal"/>
    <w:next w:val="Normal"/>
    <w:autoRedefine/>
    <w:semiHidden/>
    <w:pPr>
      <w:tabs>
        <w:tab w:val="right" w:leader="dot" w:pos="7200"/>
      </w:tabs>
      <w:suppressAutoHyphens/>
      <w:spacing w:after="240"/>
      <w:ind w:left="2304" w:hanging="288"/>
    </w:pPr>
  </w:style>
  <w:style w:type="paragraph" w:styleId="TableofAuthorities">
    <w:name w:val="table of authorities"/>
    <w:basedOn w:val="Normal"/>
    <w:next w:val="Normal"/>
    <w:semiHidden/>
    <w:pPr>
      <w:tabs>
        <w:tab w:val="right" w:leader="dot" w:pos="7200"/>
      </w:tabs>
      <w:spacing w:after="240"/>
      <w:ind w:left="720" w:hanging="720"/>
    </w:pPr>
  </w:style>
  <w:style w:type="paragraph" w:styleId="TOAHeading">
    <w:name w:val="toa heading"/>
    <w:basedOn w:val="Normal"/>
    <w:next w:val="Normal"/>
    <w:semiHidden/>
  </w:style>
  <w:style w:type="paragraph" w:styleId="FootnoteText">
    <w:name w:val="footnote text"/>
    <w:basedOn w:val="Normal"/>
    <w:link w:val="FootnoteTextChar"/>
    <w:pPr>
      <w:widowControl w:val="0"/>
    </w:p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rsid w:val="00F80F87"/>
    <w:pPr>
      <w:ind w:left="720"/>
      <w:contextualSpacing/>
    </w:pPr>
  </w:style>
  <w:style w:type="character" w:customStyle="1" w:styleId="FootnoteTextChar">
    <w:name w:val="Footnote Text Char"/>
    <w:basedOn w:val="DefaultParagraphFont"/>
    <w:link w:val="FootnoteText"/>
    <w:rsid w:val="00045BD0"/>
    <w:rPr>
      <w:sz w:val="24"/>
    </w:rPr>
  </w:style>
  <w:style w:type="paragraph" w:styleId="NormalWeb">
    <w:name w:val="Normal (Web)"/>
    <w:basedOn w:val="Normal"/>
    <w:uiPriority w:val="99"/>
    <w:unhideWhenUsed/>
    <w:rsid w:val="00045BD0"/>
    <w:pPr>
      <w:spacing w:before="100" w:beforeAutospacing="1" w:after="100" w:afterAutospacing="1"/>
    </w:pPr>
    <w:rPr>
      <w:szCs w:val="24"/>
    </w:rPr>
  </w:style>
  <w:style w:type="paragraph" w:styleId="BalloonText">
    <w:name w:val="Balloon Text"/>
    <w:basedOn w:val="Normal"/>
    <w:link w:val="BalloonTextChar"/>
    <w:semiHidden/>
    <w:unhideWhenUsed/>
    <w:rsid w:val="00873D15"/>
    <w:rPr>
      <w:rFonts w:ascii="Tahoma" w:hAnsi="Tahoma" w:cs="Tahoma"/>
      <w:sz w:val="16"/>
      <w:szCs w:val="16"/>
    </w:rPr>
  </w:style>
  <w:style w:type="character" w:customStyle="1" w:styleId="BalloonTextChar">
    <w:name w:val="Balloon Text Char"/>
    <w:basedOn w:val="DefaultParagraphFont"/>
    <w:link w:val="BalloonText"/>
    <w:semiHidden/>
    <w:rsid w:val="00873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23985">
      <w:bodyDiv w:val="1"/>
      <w:marLeft w:val="0"/>
      <w:marRight w:val="0"/>
      <w:marTop w:val="0"/>
      <w:marBottom w:val="0"/>
      <w:divBdr>
        <w:top w:val="none" w:sz="0" w:space="0" w:color="auto"/>
        <w:left w:val="none" w:sz="0" w:space="0" w:color="auto"/>
        <w:bottom w:val="none" w:sz="0" w:space="0" w:color="auto"/>
        <w:right w:val="none" w:sz="0" w:space="0" w:color="auto"/>
      </w:divBdr>
      <w:divsChild>
        <w:div w:id="94399538">
          <w:marLeft w:val="0"/>
          <w:marRight w:val="0"/>
          <w:marTop w:val="0"/>
          <w:marBottom w:val="0"/>
          <w:divBdr>
            <w:top w:val="none" w:sz="0" w:space="0" w:color="auto"/>
            <w:left w:val="none" w:sz="0" w:space="0" w:color="auto"/>
            <w:bottom w:val="none" w:sz="0" w:space="0" w:color="auto"/>
            <w:right w:val="none" w:sz="0" w:space="0" w:color="auto"/>
          </w:divBdr>
          <w:divsChild>
            <w:div w:id="1222791130">
              <w:marLeft w:val="0"/>
              <w:marRight w:val="0"/>
              <w:marTop w:val="0"/>
              <w:marBottom w:val="0"/>
              <w:divBdr>
                <w:top w:val="none" w:sz="0" w:space="0" w:color="auto"/>
                <w:left w:val="none" w:sz="0" w:space="0" w:color="auto"/>
                <w:bottom w:val="none" w:sz="0" w:space="0" w:color="auto"/>
                <w:right w:val="none" w:sz="0" w:space="0" w:color="auto"/>
              </w:divBdr>
              <w:divsChild>
                <w:div w:id="6437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10045">
      <w:bodyDiv w:val="1"/>
      <w:marLeft w:val="0"/>
      <w:marRight w:val="0"/>
      <w:marTop w:val="0"/>
      <w:marBottom w:val="0"/>
      <w:divBdr>
        <w:top w:val="none" w:sz="0" w:space="0" w:color="auto"/>
        <w:left w:val="none" w:sz="0" w:space="0" w:color="auto"/>
        <w:bottom w:val="none" w:sz="0" w:space="0" w:color="auto"/>
        <w:right w:val="none" w:sz="0" w:space="0" w:color="auto"/>
      </w:divBdr>
      <w:divsChild>
        <w:div w:id="235283058">
          <w:marLeft w:val="0"/>
          <w:marRight w:val="0"/>
          <w:marTop w:val="0"/>
          <w:marBottom w:val="0"/>
          <w:divBdr>
            <w:top w:val="none" w:sz="0" w:space="0" w:color="auto"/>
            <w:left w:val="none" w:sz="0" w:space="0" w:color="auto"/>
            <w:bottom w:val="none" w:sz="0" w:space="0" w:color="auto"/>
            <w:right w:val="none" w:sz="0" w:space="0" w:color="auto"/>
          </w:divBdr>
          <w:divsChild>
            <w:div w:id="422334443">
              <w:marLeft w:val="0"/>
              <w:marRight w:val="0"/>
              <w:marTop w:val="0"/>
              <w:marBottom w:val="0"/>
              <w:divBdr>
                <w:top w:val="none" w:sz="0" w:space="0" w:color="auto"/>
                <w:left w:val="none" w:sz="0" w:space="0" w:color="auto"/>
                <w:bottom w:val="none" w:sz="0" w:space="0" w:color="auto"/>
                <w:right w:val="none" w:sz="0" w:space="0" w:color="auto"/>
              </w:divBdr>
              <w:divsChild>
                <w:div w:id="12085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Docs\CrmDocs\Templates\PlainP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PlainPld</Template>
  <TotalTime>3</TotalTime>
  <Pages>1</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 THE SUPERIOR COURT OF THE STATE OF WASHINGTON</vt:lpstr>
    </vt:vector>
  </TitlesOfParts>
  <Company>King County Prosecuting Attor</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WASHINGTON</dc:title>
  <dc:creator>MICHELLE LARSON</dc:creator>
  <cp:lastModifiedBy>marlenebotros</cp:lastModifiedBy>
  <cp:revision>3</cp:revision>
  <cp:lastPrinted>1996-11-01T17:49:00Z</cp:lastPrinted>
  <dcterms:created xsi:type="dcterms:W3CDTF">2019-01-10T17:54:00Z</dcterms:created>
  <dcterms:modified xsi:type="dcterms:W3CDTF">2019-01-10T17:54:00Z</dcterms:modified>
</cp:coreProperties>
</file>